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4E7640">
        <w:trPr>
          <w:tblCellSpacing w:w="60" w:type="dxa"/>
        </w:trPr>
        <w:tc>
          <w:tcPr>
            <w:tcW w:w="1200" w:type="pct"/>
            <w:shd w:val="clear" w:color="auto" w:fill="E7F0F9"/>
          </w:tcPr>
          <w:p w:rsidR="004E7640" w:rsidRDefault="00086EE0">
            <w:pPr>
              <w:spacing w:after="0" w:line="240" w:lineRule="auto"/>
            </w:pPr>
            <w:bookmarkStart w:id="0" w:name="_GoBack"/>
            <w:bookmarkEnd w:id="0"/>
            <w:r>
              <w:rPr>
                <w:b/>
              </w:rPr>
              <w:t>RKP broj</w:t>
            </w:r>
          </w:p>
        </w:tc>
        <w:tc>
          <w:tcPr>
            <w:tcW w:w="0" w:type="auto"/>
            <w:shd w:val="clear" w:color="auto" w:fill="E7F0F9"/>
          </w:tcPr>
          <w:p w:rsidR="004E7640" w:rsidRDefault="00086EE0">
            <w:pPr>
              <w:spacing w:after="0" w:line="240" w:lineRule="auto"/>
            </w:pPr>
            <w:r>
              <w:t>14058</w:t>
            </w:r>
          </w:p>
        </w:tc>
      </w:tr>
      <w:tr w:rsidR="004E7640">
        <w:trPr>
          <w:tblCellSpacing w:w="60" w:type="dxa"/>
        </w:trPr>
        <w:tc>
          <w:tcPr>
            <w:tcW w:w="1200" w:type="pct"/>
            <w:shd w:val="clear" w:color="auto" w:fill="E7F0F9"/>
          </w:tcPr>
          <w:p w:rsidR="004E7640" w:rsidRDefault="00086EE0">
            <w:pPr>
              <w:spacing w:after="0" w:line="240" w:lineRule="auto"/>
            </w:pPr>
            <w:r>
              <w:rPr>
                <w:b/>
              </w:rPr>
              <w:t>Naziv obveznika</w:t>
            </w:r>
          </w:p>
        </w:tc>
        <w:tc>
          <w:tcPr>
            <w:tcW w:w="0" w:type="auto"/>
            <w:shd w:val="clear" w:color="auto" w:fill="E7F0F9"/>
          </w:tcPr>
          <w:p w:rsidR="004E7640" w:rsidRDefault="00086EE0">
            <w:pPr>
              <w:spacing w:after="0" w:line="240" w:lineRule="auto"/>
            </w:pPr>
            <w:r>
              <w:t>VII. O.Š. VARAŽDIN</w:t>
            </w:r>
          </w:p>
        </w:tc>
      </w:tr>
      <w:tr w:rsidR="004E7640">
        <w:trPr>
          <w:tblCellSpacing w:w="60" w:type="dxa"/>
        </w:trPr>
        <w:tc>
          <w:tcPr>
            <w:tcW w:w="1200" w:type="pct"/>
            <w:shd w:val="clear" w:color="auto" w:fill="E7F0F9"/>
          </w:tcPr>
          <w:p w:rsidR="004E7640" w:rsidRDefault="00086EE0">
            <w:pPr>
              <w:spacing w:after="0" w:line="240" w:lineRule="auto"/>
            </w:pPr>
            <w:r>
              <w:rPr>
                <w:b/>
              </w:rPr>
              <w:t>Razina</w:t>
            </w:r>
          </w:p>
        </w:tc>
        <w:tc>
          <w:tcPr>
            <w:tcW w:w="0" w:type="auto"/>
            <w:shd w:val="clear" w:color="auto" w:fill="E7F0F9"/>
          </w:tcPr>
          <w:p w:rsidR="004E7640" w:rsidRDefault="00086EE0">
            <w:pPr>
              <w:spacing w:after="0" w:line="240" w:lineRule="auto"/>
            </w:pPr>
            <w:r>
              <w:t>31</w:t>
            </w:r>
          </w:p>
        </w:tc>
      </w:tr>
    </w:tbl>
    <w:p w:rsidR="004E7640" w:rsidRDefault="00086EE0">
      <w:r>
        <w:br/>
      </w:r>
    </w:p>
    <w:p w:rsidR="004E7640" w:rsidRDefault="00086EE0">
      <w:pPr>
        <w:spacing w:line="240" w:lineRule="auto"/>
        <w:jc w:val="center"/>
      </w:pPr>
      <w:r>
        <w:rPr>
          <w:b/>
          <w:sz w:val="28"/>
        </w:rPr>
        <w:t>BILJEŠKE UZ FINANCIJSKE IZVJEŠTAJE</w:t>
      </w:r>
    </w:p>
    <w:p w:rsidR="004E7640" w:rsidRDefault="00086EE0">
      <w:pPr>
        <w:spacing w:line="240" w:lineRule="auto"/>
        <w:jc w:val="center"/>
      </w:pPr>
      <w:r>
        <w:rPr>
          <w:b/>
          <w:sz w:val="28"/>
        </w:rPr>
        <w:t>ZA RAZDOBLJE</w:t>
      </w:r>
    </w:p>
    <w:p w:rsidR="004E7640" w:rsidRDefault="00086EE0">
      <w:pPr>
        <w:spacing w:line="240" w:lineRule="auto"/>
        <w:jc w:val="center"/>
      </w:pPr>
      <w:r>
        <w:rPr>
          <w:b/>
          <w:sz w:val="28"/>
        </w:rPr>
        <w:t>I - VI 2026.</w:t>
      </w:r>
    </w:p>
    <w:p w:rsidR="004E7640" w:rsidRDefault="004E7640"/>
    <w:p w:rsidR="004E7640" w:rsidRDefault="00086EE0">
      <w:pPr>
        <w:keepNext/>
        <w:spacing w:line="240" w:lineRule="auto"/>
        <w:jc w:val="center"/>
      </w:pPr>
      <w:r>
        <w:rPr>
          <w:b/>
          <w:sz w:val="28"/>
        </w:rPr>
        <w:t>Izvještaj o prihodima i rashodima, primicima i izdacima</w:t>
      </w:r>
    </w:p>
    <w:p w:rsidR="004E7640" w:rsidRDefault="00086EE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6</w:t>
            </w:r>
          </w:p>
        </w:tc>
        <w:tc>
          <w:tcPr>
            <w:tcW w:w="3180" w:type="dxa"/>
            <w:tcMar>
              <w:top w:w="0" w:type="dxa"/>
              <w:bottom w:w="0" w:type="dxa"/>
            </w:tcMar>
            <w:vAlign w:val="center"/>
          </w:tcPr>
          <w:p w:rsidR="004E7640" w:rsidRDefault="00086EE0">
            <w:pPr>
              <w:keepNext/>
              <w:keepLines/>
              <w:spacing w:after="0" w:line="240" w:lineRule="auto"/>
            </w:pPr>
            <w:r>
              <w:rPr>
                <w:sz w:val="18"/>
              </w:rPr>
              <w:t>PRIHODI POSLOVANJA (šifre 61+62+63+64+65+66+67+68)</w:t>
            </w:r>
          </w:p>
        </w:tc>
        <w:tc>
          <w:tcPr>
            <w:tcW w:w="700" w:type="dxa"/>
            <w:tcMar>
              <w:top w:w="0" w:type="dxa"/>
              <w:bottom w:w="0" w:type="dxa"/>
            </w:tcMar>
            <w:vAlign w:val="center"/>
          </w:tcPr>
          <w:p w:rsidR="004E7640" w:rsidRDefault="00086EE0">
            <w:pPr>
              <w:keepNext/>
              <w:keepLines/>
              <w:spacing w:after="0" w:line="240" w:lineRule="auto"/>
            </w:pPr>
            <w:r>
              <w:rPr>
                <w:sz w:val="18"/>
              </w:rPr>
              <w:t>6</w:t>
            </w:r>
          </w:p>
        </w:tc>
        <w:tc>
          <w:tcPr>
            <w:tcW w:w="1860" w:type="dxa"/>
            <w:tcMar>
              <w:top w:w="0" w:type="dxa"/>
              <w:bottom w:w="0" w:type="dxa"/>
            </w:tcMar>
            <w:vAlign w:val="center"/>
          </w:tcPr>
          <w:p w:rsidR="004E7640" w:rsidRDefault="00086EE0">
            <w:pPr>
              <w:keepNext/>
              <w:keepLines/>
              <w:spacing w:after="0" w:line="240" w:lineRule="auto"/>
              <w:jc w:val="right"/>
            </w:pPr>
            <w:r>
              <w:rPr>
                <w:sz w:val="18"/>
              </w:rPr>
              <w:t>775.445,17</w:t>
            </w:r>
          </w:p>
        </w:tc>
        <w:tc>
          <w:tcPr>
            <w:tcW w:w="1860" w:type="dxa"/>
            <w:tcMar>
              <w:top w:w="0" w:type="dxa"/>
              <w:bottom w:w="0" w:type="dxa"/>
            </w:tcMar>
            <w:vAlign w:val="center"/>
          </w:tcPr>
          <w:p w:rsidR="004E7640" w:rsidRDefault="00086EE0">
            <w:pPr>
              <w:keepNext/>
              <w:keepLines/>
              <w:spacing w:after="0" w:line="240" w:lineRule="auto"/>
              <w:jc w:val="right"/>
            </w:pPr>
            <w:r>
              <w:rPr>
                <w:sz w:val="18"/>
              </w:rPr>
              <w:t>880.671,07</w:t>
            </w:r>
          </w:p>
        </w:tc>
        <w:tc>
          <w:tcPr>
            <w:tcW w:w="700" w:type="dxa"/>
            <w:tcMar>
              <w:top w:w="0" w:type="dxa"/>
              <w:bottom w:w="0" w:type="dxa"/>
            </w:tcMar>
            <w:vAlign w:val="center"/>
          </w:tcPr>
          <w:p w:rsidR="004E7640" w:rsidRDefault="00086EE0">
            <w:pPr>
              <w:keepNext/>
              <w:keepLines/>
              <w:spacing w:after="0" w:line="240" w:lineRule="auto"/>
              <w:jc w:val="right"/>
            </w:pPr>
            <w:r>
              <w:rPr>
                <w:sz w:val="18"/>
              </w:rPr>
              <w:t>113,6</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w:t>
            </w:r>
          </w:p>
        </w:tc>
        <w:tc>
          <w:tcPr>
            <w:tcW w:w="3180" w:type="dxa"/>
            <w:tcMar>
              <w:top w:w="0" w:type="dxa"/>
              <w:bottom w:w="0" w:type="dxa"/>
            </w:tcMar>
            <w:vAlign w:val="center"/>
          </w:tcPr>
          <w:p w:rsidR="004E7640" w:rsidRDefault="00086EE0">
            <w:pPr>
              <w:keepNext/>
              <w:keepLines/>
              <w:spacing w:after="0" w:line="240" w:lineRule="auto"/>
            </w:pPr>
            <w:r>
              <w:rPr>
                <w:sz w:val="18"/>
              </w:rPr>
              <w:t>RASHODI POSLOVANJA (šifre 31+32+34+35+36+37+38)</w:t>
            </w:r>
          </w:p>
        </w:tc>
        <w:tc>
          <w:tcPr>
            <w:tcW w:w="700" w:type="dxa"/>
            <w:tcMar>
              <w:top w:w="0" w:type="dxa"/>
              <w:bottom w:w="0" w:type="dxa"/>
            </w:tcMar>
            <w:vAlign w:val="center"/>
          </w:tcPr>
          <w:p w:rsidR="004E7640" w:rsidRDefault="00086EE0">
            <w:pPr>
              <w:keepNext/>
              <w:keepLines/>
              <w:spacing w:after="0" w:line="240" w:lineRule="auto"/>
            </w:pPr>
            <w:r>
              <w:rPr>
                <w:sz w:val="18"/>
              </w:rPr>
              <w:t>3</w:t>
            </w:r>
          </w:p>
        </w:tc>
        <w:tc>
          <w:tcPr>
            <w:tcW w:w="1860" w:type="dxa"/>
            <w:tcMar>
              <w:top w:w="0" w:type="dxa"/>
              <w:bottom w:w="0" w:type="dxa"/>
            </w:tcMar>
            <w:vAlign w:val="center"/>
          </w:tcPr>
          <w:p w:rsidR="004E7640" w:rsidRDefault="00086EE0">
            <w:pPr>
              <w:keepNext/>
              <w:keepLines/>
              <w:spacing w:after="0" w:line="240" w:lineRule="auto"/>
              <w:jc w:val="right"/>
            </w:pPr>
            <w:r>
              <w:rPr>
                <w:sz w:val="18"/>
              </w:rPr>
              <w:t>809.209,77</w:t>
            </w:r>
          </w:p>
        </w:tc>
        <w:tc>
          <w:tcPr>
            <w:tcW w:w="1860" w:type="dxa"/>
            <w:tcMar>
              <w:top w:w="0" w:type="dxa"/>
              <w:bottom w:w="0" w:type="dxa"/>
            </w:tcMar>
            <w:vAlign w:val="center"/>
          </w:tcPr>
          <w:p w:rsidR="004E7640" w:rsidRDefault="00086EE0">
            <w:pPr>
              <w:keepNext/>
              <w:keepLines/>
              <w:spacing w:after="0" w:line="240" w:lineRule="auto"/>
              <w:jc w:val="right"/>
            </w:pPr>
            <w:r>
              <w:rPr>
                <w:sz w:val="18"/>
              </w:rPr>
              <w:t>785.386,25</w:t>
            </w:r>
          </w:p>
        </w:tc>
        <w:tc>
          <w:tcPr>
            <w:tcW w:w="700" w:type="dxa"/>
            <w:tcMar>
              <w:top w:w="0" w:type="dxa"/>
              <w:bottom w:w="0" w:type="dxa"/>
            </w:tcMar>
            <w:vAlign w:val="center"/>
          </w:tcPr>
          <w:p w:rsidR="004E7640" w:rsidRDefault="00086EE0">
            <w:pPr>
              <w:keepNext/>
              <w:keepLines/>
              <w:spacing w:after="0" w:line="240" w:lineRule="auto"/>
              <w:jc w:val="right"/>
            </w:pPr>
            <w:r>
              <w:rPr>
                <w:sz w:val="18"/>
              </w:rPr>
              <w:t>97,1</w:t>
            </w:r>
          </w:p>
        </w:tc>
      </w:tr>
      <w:tr w:rsidR="004E7640">
        <w:trPr>
          <w:cantSplit/>
          <w:trHeight w:val="560"/>
        </w:trPr>
        <w:tc>
          <w:tcPr>
            <w:tcW w:w="700" w:type="dxa"/>
            <w:tcMar>
              <w:top w:w="0" w:type="dxa"/>
              <w:bottom w:w="0" w:type="dxa"/>
            </w:tcMar>
            <w:vAlign w:val="center"/>
          </w:tcPr>
          <w:p w:rsidR="004E7640" w:rsidRDefault="004E7640">
            <w:pPr>
              <w:keepNext/>
              <w:keepLines/>
              <w:spacing w:after="0" w:line="240" w:lineRule="auto"/>
            </w:pPr>
          </w:p>
        </w:tc>
        <w:tc>
          <w:tcPr>
            <w:tcW w:w="3180" w:type="dxa"/>
            <w:tcMar>
              <w:top w:w="0" w:type="dxa"/>
              <w:bottom w:w="0" w:type="dxa"/>
            </w:tcMar>
            <w:vAlign w:val="center"/>
          </w:tcPr>
          <w:p w:rsidR="004E7640" w:rsidRDefault="00086EE0">
            <w:pPr>
              <w:keepNext/>
              <w:keepLines/>
              <w:spacing w:after="0" w:line="240" w:lineRule="auto"/>
            </w:pPr>
            <w:r>
              <w:rPr>
                <w:b/>
                <w:sz w:val="18"/>
              </w:rPr>
              <w:t>VIŠAK PRIHODA POSLOVANJA (šifre 6-Z005)</w:t>
            </w:r>
          </w:p>
        </w:tc>
        <w:tc>
          <w:tcPr>
            <w:tcW w:w="700" w:type="dxa"/>
            <w:tcMar>
              <w:top w:w="0" w:type="dxa"/>
              <w:bottom w:w="0" w:type="dxa"/>
            </w:tcMar>
            <w:vAlign w:val="center"/>
          </w:tcPr>
          <w:p w:rsidR="004E7640" w:rsidRDefault="00086EE0">
            <w:pPr>
              <w:keepNext/>
              <w:keepLines/>
              <w:spacing w:after="0" w:line="240" w:lineRule="auto"/>
            </w:pPr>
            <w:r>
              <w:rPr>
                <w:b/>
                <w:sz w:val="18"/>
              </w:rPr>
              <w:t>X001</w:t>
            </w:r>
          </w:p>
        </w:tc>
        <w:tc>
          <w:tcPr>
            <w:tcW w:w="1860" w:type="dxa"/>
            <w:tcMar>
              <w:top w:w="0" w:type="dxa"/>
              <w:bottom w:w="0" w:type="dxa"/>
            </w:tcMar>
            <w:vAlign w:val="center"/>
          </w:tcPr>
          <w:p w:rsidR="004E7640" w:rsidRDefault="00086EE0">
            <w:pPr>
              <w:keepNext/>
              <w:keepLines/>
              <w:spacing w:after="0" w:line="240" w:lineRule="auto"/>
              <w:jc w:val="right"/>
            </w:pPr>
            <w:r>
              <w:rPr>
                <w:b/>
                <w:sz w:val="18"/>
              </w:rPr>
              <w:t>0,00</w:t>
            </w:r>
          </w:p>
        </w:tc>
        <w:tc>
          <w:tcPr>
            <w:tcW w:w="1860" w:type="dxa"/>
            <w:tcMar>
              <w:top w:w="0" w:type="dxa"/>
              <w:bottom w:w="0" w:type="dxa"/>
            </w:tcMar>
            <w:vAlign w:val="center"/>
          </w:tcPr>
          <w:p w:rsidR="004E7640" w:rsidRDefault="00086EE0">
            <w:pPr>
              <w:keepNext/>
              <w:keepLines/>
              <w:spacing w:after="0" w:line="240" w:lineRule="auto"/>
              <w:jc w:val="right"/>
            </w:pPr>
            <w:r>
              <w:rPr>
                <w:b/>
                <w:sz w:val="18"/>
              </w:rPr>
              <w:t>95.284,82</w:t>
            </w:r>
          </w:p>
        </w:tc>
        <w:tc>
          <w:tcPr>
            <w:tcW w:w="700" w:type="dxa"/>
            <w:tcMar>
              <w:top w:w="0" w:type="dxa"/>
              <w:bottom w:w="0" w:type="dxa"/>
            </w:tcMar>
            <w:vAlign w:val="center"/>
          </w:tcPr>
          <w:p w:rsidR="004E7640" w:rsidRDefault="00086EE0">
            <w:pPr>
              <w:keepNext/>
              <w:keepLines/>
              <w:spacing w:after="0" w:line="240" w:lineRule="auto"/>
              <w:jc w:val="right"/>
            </w:pPr>
            <w:r>
              <w:rPr>
                <w:b/>
                <w:sz w:val="18"/>
              </w:rPr>
              <w:t>-</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7</w:t>
            </w:r>
          </w:p>
        </w:tc>
        <w:tc>
          <w:tcPr>
            <w:tcW w:w="3180" w:type="dxa"/>
            <w:tcMar>
              <w:top w:w="0" w:type="dxa"/>
              <w:bottom w:w="0" w:type="dxa"/>
            </w:tcMar>
            <w:vAlign w:val="center"/>
          </w:tcPr>
          <w:p w:rsidR="004E7640" w:rsidRDefault="00086EE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4E7640" w:rsidRDefault="00086EE0">
            <w:pPr>
              <w:keepNext/>
              <w:keepLines/>
              <w:spacing w:after="0" w:line="240" w:lineRule="auto"/>
            </w:pPr>
            <w:r>
              <w:rPr>
                <w:sz w:val="18"/>
              </w:rPr>
              <w:t>7</w:t>
            </w:r>
          </w:p>
        </w:tc>
        <w:tc>
          <w:tcPr>
            <w:tcW w:w="1860" w:type="dxa"/>
            <w:tcMar>
              <w:top w:w="0" w:type="dxa"/>
              <w:bottom w:w="0" w:type="dxa"/>
            </w:tcMar>
            <w:vAlign w:val="center"/>
          </w:tcPr>
          <w:p w:rsidR="004E7640" w:rsidRDefault="00086EE0">
            <w:pPr>
              <w:keepNext/>
              <w:keepLines/>
              <w:spacing w:after="0" w:line="240" w:lineRule="auto"/>
              <w:jc w:val="right"/>
            </w:pPr>
            <w:r>
              <w:rPr>
                <w:sz w:val="18"/>
              </w:rPr>
              <w:t>0,00</w:t>
            </w:r>
          </w:p>
        </w:tc>
        <w:tc>
          <w:tcPr>
            <w:tcW w:w="1860" w:type="dxa"/>
            <w:tcMar>
              <w:top w:w="0" w:type="dxa"/>
              <w:bottom w:w="0" w:type="dxa"/>
            </w:tcMar>
            <w:vAlign w:val="center"/>
          </w:tcPr>
          <w:p w:rsidR="004E7640" w:rsidRDefault="00086EE0">
            <w:pPr>
              <w:keepNext/>
              <w:keepLines/>
              <w:spacing w:after="0" w:line="240" w:lineRule="auto"/>
              <w:jc w:val="right"/>
            </w:pPr>
            <w:r>
              <w:rPr>
                <w:sz w:val="18"/>
              </w:rPr>
              <w:t>0,00</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4</w:t>
            </w:r>
          </w:p>
        </w:tc>
        <w:tc>
          <w:tcPr>
            <w:tcW w:w="3180" w:type="dxa"/>
            <w:tcMar>
              <w:top w:w="0" w:type="dxa"/>
              <w:bottom w:w="0" w:type="dxa"/>
            </w:tcMar>
            <w:vAlign w:val="center"/>
          </w:tcPr>
          <w:p w:rsidR="004E7640" w:rsidRDefault="00086EE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4E7640" w:rsidRDefault="00086EE0">
            <w:pPr>
              <w:keepNext/>
              <w:keepLines/>
              <w:spacing w:after="0" w:line="240" w:lineRule="auto"/>
            </w:pPr>
            <w:r>
              <w:rPr>
                <w:sz w:val="18"/>
              </w:rPr>
              <w:t>4</w:t>
            </w:r>
          </w:p>
        </w:tc>
        <w:tc>
          <w:tcPr>
            <w:tcW w:w="1860" w:type="dxa"/>
            <w:tcMar>
              <w:top w:w="0" w:type="dxa"/>
              <w:bottom w:w="0" w:type="dxa"/>
            </w:tcMar>
            <w:vAlign w:val="center"/>
          </w:tcPr>
          <w:p w:rsidR="004E7640" w:rsidRDefault="00086EE0">
            <w:pPr>
              <w:keepNext/>
              <w:keepLines/>
              <w:spacing w:after="0" w:line="240" w:lineRule="auto"/>
              <w:jc w:val="right"/>
            </w:pPr>
            <w:r>
              <w:rPr>
                <w:sz w:val="18"/>
              </w:rPr>
              <w:t>35.845,85</w:t>
            </w:r>
          </w:p>
        </w:tc>
        <w:tc>
          <w:tcPr>
            <w:tcW w:w="1860" w:type="dxa"/>
            <w:tcMar>
              <w:top w:w="0" w:type="dxa"/>
              <w:bottom w:w="0" w:type="dxa"/>
            </w:tcMar>
            <w:vAlign w:val="center"/>
          </w:tcPr>
          <w:p w:rsidR="004E7640" w:rsidRDefault="00086EE0">
            <w:pPr>
              <w:keepNext/>
              <w:keepLines/>
              <w:spacing w:after="0" w:line="240" w:lineRule="auto"/>
              <w:jc w:val="right"/>
            </w:pPr>
            <w:r>
              <w:rPr>
                <w:sz w:val="18"/>
              </w:rPr>
              <w:t>41.994,73</w:t>
            </w:r>
          </w:p>
        </w:tc>
        <w:tc>
          <w:tcPr>
            <w:tcW w:w="700" w:type="dxa"/>
            <w:tcMar>
              <w:top w:w="0" w:type="dxa"/>
              <w:bottom w:w="0" w:type="dxa"/>
            </w:tcMar>
            <w:vAlign w:val="center"/>
          </w:tcPr>
          <w:p w:rsidR="004E7640" w:rsidRDefault="00086EE0">
            <w:pPr>
              <w:keepNext/>
              <w:keepLines/>
              <w:spacing w:after="0" w:line="240" w:lineRule="auto"/>
              <w:jc w:val="right"/>
            </w:pPr>
            <w:r>
              <w:rPr>
                <w:sz w:val="18"/>
              </w:rPr>
              <w:t>117,2</w:t>
            </w:r>
          </w:p>
        </w:tc>
      </w:tr>
      <w:tr w:rsidR="004E7640">
        <w:trPr>
          <w:cantSplit/>
          <w:trHeight w:val="560"/>
        </w:trPr>
        <w:tc>
          <w:tcPr>
            <w:tcW w:w="700" w:type="dxa"/>
            <w:tcMar>
              <w:top w:w="0" w:type="dxa"/>
              <w:bottom w:w="0" w:type="dxa"/>
            </w:tcMar>
            <w:vAlign w:val="center"/>
          </w:tcPr>
          <w:p w:rsidR="004E7640" w:rsidRDefault="004E7640">
            <w:pPr>
              <w:keepNext/>
              <w:keepLines/>
              <w:spacing w:after="0" w:line="240" w:lineRule="auto"/>
            </w:pPr>
          </w:p>
        </w:tc>
        <w:tc>
          <w:tcPr>
            <w:tcW w:w="3180" w:type="dxa"/>
            <w:tcMar>
              <w:top w:w="0" w:type="dxa"/>
              <w:bottom w:w="0" w:type="dxa"/>
            </w:tcMar>
            <w:vAlign w:val="center"/>
          </w:tcPr>
          <w:p w:rsidR="004E7640" w:rsidRDefault="00086EE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4E7640" w:rsidRDefault="00086EE0">
            <w:pPr>
              <w:keepNext/>
              <w:keepLines/>
              <w:spacing w:after="0" w:line="240" w:lineRule="auto"/>
            </w:pPr>
            <w:r>
              <w:rPr>
                <w:b/>
                <w:sz w:val="18"/>
              </w:rPr>
              <w:t>Y002</w:t>
            </w:r>
          </w:p>
        </w:tc>
        <w:tc>
          <w:tcPr>
            <w:tcW w:w="1860" w:type="dxa"/>
            <w:tcMar>
              <w:top w:w="0" w:type="dxa"/>
              <w:bottom w:w="0" w:type="dxa"/>
            </w:tcMar>
            <w:vAlign w:val="center"/>
          </w:tcPr>
          <w:p w:rsidR="004E7640" w:rsidRDefault="00086EE0">
            <w:pPr>
              <w:keepNext/>
              <w:keepLines/>
              <w:spacing w:after="0" w:line="240" w:lineRule="auto"/>
              <w:jc w:val="right"/>
            </w:pPr>
            <w:r>
              <w:rPr>
                <w:b/>
                <w:sz w:val="18"/>
              </w:rPr>
              <w:t>35.845,85</w:t>
            </w:r>
          </w:p>
        </w:tc>
        <w:tc>
          <w:tcPr>
            <w:tcW w:w="1860" w:type="dxa"/>
            <w:tcMar>
              <w:top w:w="0" w:type="dxa"/>
              <w:bottom w:w="0" w:type="dxa"/>
            </w:tcMar>
            <w:vAlign w:val="center"/>
          </w:tcPr>
          <w:p w:rsidR="004E7640" w:rsidRDefault="00086EE0">
            <w:pPr>
              <w:keepNext/>
              <w:keepLines/>
              <w:spacing w:after="0" w:line="240" w:lineRule="auto"/>
              <w:jc w:val="right"/>
            </w:pPr>
            <w:r>
              <w:rPr>
                <w:b/>
                <w:sz w:val="18"/>
              </w:rPr>
              <w:t>41.994,73</w:t>
            </w:r>
          </w:p>
        </w:tc>
        <w:tc>
          <w:tcPr>
            <w:tcW w:w="700" w:type="dxa"/>
            <w:tcMar>
              <w:top w:w="0" w:type="dxa"/>
              <w:bottom w:w="0" w:type="dxa"/>
            </w:tcMar>
            <w:vAlign w:val="center"/>
          </w:tcPr>
          <w:p w:rsidR="004E7640" w:rsidRDefault="00086EE0">
            <w:pPr>
              <w:keepNext/>
              <w:keepLines/>
              <w:spacing w:after="0" w:line="240" w:lineRule="auto"/>
              <w:jc w:val="right"/>
            </w:pPr>
            <w:r>
              <w:rPr>
                <w:b/>
                <w:sz w:val="18"/>
              </w:rPr>
              <w:t>117,2</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8</w:t>
            </w:r>
          </w:p>
        </w:tc>
        <w:tc>
          <w:tcPr>
            <w:tcW w:w="3180" w:type="dxa"/>
            <w:tcMar>
              <w:top w:w="0" w:type="dxa"/>
              <w:bottom w:w="0" w:type="dxa"/>
            </w:tcMar>
            <w:vAlign w:val="center"/>
          </w:tcPr>
          <w:p w:rsidR="004E7640" w:rsidRDefault="00086EE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4E7640" w:rsidRDefault="00086EE0">
            <w:pPr>
              <w:keepNext/>
              <w:keepLines/>
              <w:spacing w:after="0" w:line="240" w:lineRule="auto"/>
            </w:pPr>
            <w:r>
              <w:rPr>
                <w:sz w:val="18"/>
              </w:rPr>
              <w:t>8</w:t>
            </w:r>
          </w:p>
        </w:tc>
        <w:tc>
          <w:tcPr>
            <w:tcW w:w="1860" w:type="dxa"/>
            <w:tcMar>
              <w:top w:w="0" w:type="dxa"/>
              <w:bottom w:w="0" w:type="dxa"/>
            </w:tcMar>
            <w:vAlign w:val="center"/>
          </w:tcPr>
          <w:p w:rsidR="004E7640" w:rsidRDefault="00086EE0">
            <w:pPr>
              <w:keepNext/>
              <w:keepLines/>
              <w:spacing w:after="0" w:line="240" w:lineRule="auto"/>
              <w:jc w:val="right"/>
            </w:pPr>
            <w:r>
              <w:rPr>
                <w:sz w:val="18"/>
              </w:rPr>
              <w:t>0,00</w:t>
            </w:r>
          </w:p>
        </w:tc>
        <w:tc>
          <w:tcPr>
            <w:tcW w:w="1860" w:type="dxa"/>
            <w:tcMar>
              <w:top w:w="0" w:type="dxa"/>
              <w:bottom w:w="0" w:type="dxa"/>
            </w:tcMar>
            <w:vAlign w:val="center"/>
          </w:tcPr>
          <w:p w:rsidR="004E7640" w:rsidRDefault="00086EE0">
            <w:pPr>
              <w:keepNext/>
              <w:keepLines/>
              <w:spacing w:after="0" w:line="240" w:lineRule="auto"/>
              <w:jc w:val="right"/>
            </w:pPr>
            <w:r>
              <w:rPr>
                <w:sz w:val="18"/>
              </w:rPr>
              <w:t>0,00</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5</w:t>
            </w:r>
          </w:p>
        </w:tc>
        <w:tc>
          <w:tcPr>
            <w:tcW w:w="3180" w:type="dxa"/>
            <w:tcMar>
              <w:top w:w="0" w:type="dxa"/>
              <w:bottom w:w="0" w:type="dxa"/>
            </w:tcMar>
            <w:vAlign w:val="center"/>
          </w:tcPr>
          <w:p w:rsidR="004E7640" w:rsidRDefault="00086EE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4E7640" w:rsidRDefault="00086EE0">
            <w:pPr>
              <w:keepNext/>
              <w:keepLines/>
              <w:spacing w:after="0" w:line="240" w:lineRule="auto"/>
            </w:pPr>
            <w:r>
              <w:rPr>
                <w:sz w:val="18"/>
              </w:rPr>
              <w:t>5</w:t>
            </w:r>
          </w:p>
        </w:tc>
        <w:tc>
          <w:tcPr>
            <w:tcW w:w="1860" w:type="dxa"/>
            <w:tcMar>
              <w:top w:w="0" w:type="dxa"/>
              <w:bottom w:w="0" w:type="dxa"/>
            </w:tcMar>
            <w:vAlign w:val="center"/>
          </w:tcPr>
          <w:p w:rsidR="004E7640" w:rsidRDefault="00086EE0">
            <w:pPr>
              <w:keepNext/>
              <w:keepLines/>
              <w:spacing w:after="0" w:line="240" w:lineRule="auto"/>
              <w:jc w:val="right"/>
            </w:pPr>
            <w:r>
              <w:rPr>
                <w:sz w:val="18"/>
              </w:rPr>
              <w:t>0,00</w:t>
            </w:r>
          </w:p>
        </w:tc>
        <w:tc>
          <w:tcPr>
            <w:tcW w:w="1860" w:type="dxa"/>
            <w:tcMar>
              <w:top w:w="0" w:type="dxa"/>
              <w:bottom w:w="0" w:type="dxa"/>
            </w:tcMar>
            <w:vAlign w:val="center"/>
          </w:tcPr>
          <w:p w:rsidR="004E7640" w:rsidRDefault="00086EE0">
            <w:pPr>
              <w:keepNext/>
              <w:keepLines/>
              <w:spacing w:after="0" w:line="240" w:lineRule="auto"/>
              <w:jc w:val="right"/>
            </w:pPr>
            <w:r>
              <w:rPr>
                <w:sz w:val="18"/>
              </w:rPr>
              <w:t>0,00</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r w:rsidR="004E7640">
        <w:trPr>
          <w:cantSplit/>
          <w:trHeight w:val="560"/>
        </w:trPr>
        <w:tc>
          <w:tcPr>
            <w:tcW w:w="700" w:type="dxa"/>
            <w:tcMar>
              <w:top w:w="0" w:type="dxa"/>
              <w:bottom w:w="0" w:type="dxa"/>
            </w:tcMar>
            <w:vAlign w:val="center"/>
          </w:tcPr>
          <w:p w:rsidR="004E7640" w:rsidRDefault="004E7640">
            <w:pPr>
              <w:keepNext/>
              <w:keepLines/>
              <w:spacing w:after="0" w:line="240" w:lineRule="auto"/>
            </w:pPr>
          </w:p>
        </w:tc>
        <w:tc>
          <w:tcPr>
            <w:tcW w:w="3180" w:type="dxa"/>
            <w:tcMar>
              <w:top w:w="0" w:type="dxa"/>
              <w:bottom w:w="0" w:type="dxa"/>
            </w:tcMar>
            <w:vAlign w:val="center"/>
          </w:tcPr>
          <w:p w:rsidR="004E7640" w:rsidRDefault="00086EE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4E7640" w:rsidRDefault="00086EE0">
            <w:pPr>
              <w:keepNext/>
              <w:keepLines/>
              <w:spacing w:after="0" w:line="240" w:lineRule="auto"/>
            </w:pPr>
            <w:r>
              <w:rPr>
                <w:b/>
                <w:sz w:val="18"/>
              </w:rPr>
              <w:t>X003, Y003</w:t>
            </w:r>
          </w:p>
        </w:tc>
        <w:tc>
          <w:tcPr>
            <w:tcW w:w="1860" w:type="dxa"/>
            <w:tcMar>
              <w:top w:w="0" w:type="dxa"/>
              <w:bottom w:w="0" w:type="dxa"/>
            </w:tcMar>
            <w:vAlign w:val="center"/>
          </w:tcPr>
          <w:p w:rsidR="004E7640" w:rsidRDefault="00086EE0">
            <w:pPr>
              <w:keepNext/>
              <w:keepLines/>
              <w:spacing w:after="0" w:line="240" w:lineRule="auto"/>
              <w:jc w:val="right"/>
            </w:pPr>
            <w:r>
              <w:rPr>
                <w:b/>
                <w:sz w:val="18"/>
              </w:rPr>
              <w:t>0,00</w:t>
            </w:r>
          </w:p>
        </w:tc>
        <w:tc>
          <w:tcPr>
            <w:tcW w:w="1860" w:type="dxa"/>
            <w:tcMar>
              <w:top w:w="0" w:type="dxa"/>
              <w:bottom w:w="0" w:type="dxa"/>
            </w:tcMar>
            <w:vAlign w:val="center"/>
          </w:tcPr>
          <w:p w:rsidR="004E7640" w:rsidRDefault="00086EE0">
            <w:pPr>
              <w:keepNext/>
              <w:keepLines/>
              <w:spacing w:after="0" w:line="240" w:lineRule="auto"/>
              <w:jc w:val="right"/>
            </w:pPr>
            <w:r>
              <w:rPr>
                <w:b/>
                <w:sz w:val="18"/>
              </w:rPr>
              <w:t>0,00</w:t>
            </w:r>
          </w:p>
        </w:tc>
        <w:tc>
          <w:tcPr>
            <w:tcW w:w="700" w:type="dxa"/>
            <w:tcMar>
              <w:top w:w="0" w:type="dxa"/>
              <w:bottom w:w="0" w:type="dxa"/>
            </w:tcMar>
            <w:vAlign w:val="center"/>
          </w:tcPr>
          <w:p w:rsidR="004E7640" w:rsidRDefault="00086EE0">
            <w:pPr>
              <w:keepNext/>
              <w:keepLines/>
              <w:spacing w:after="0" w:line="240" w:lineRule="auto"/>
              <w:jc w:val="right"/>
            </w:pPr>
            <w:r>
              <w:rPr>
                <w:b/>
                <w:sz w:val="18"/>
              </w:rPr>
              <w:t>-</w:t>
            </w:r>
          </w:p>
        </w:tc>
      </w:tr>
      <w:tr w:rsidR="004E7640">
        <w:trPr>
          <w:cantSplit/>
          <w:trHeight w:val="560"/>
        </w:trPr>
        <w:tc>
          <w:tcPr>
            <w:tcW w:w="700" w:type="dxa"/>
            <w:tcMar>
              <w:top w:w="0" w:type="dxa"/>
              <w:bottom w:w="0" w:type="dxa"/>
            </w:tcMar>
            <w:vAlign w:val="center"/>
          </w:tcPr>
          <w:p w:rsidR="004E7640" w:rsidRDefault="004E7640">
            <w:pPr>
              <w:keepNext/>
              <w:keepLines/>
              <w:spacing w:after="0" w:line="240" w:lineRule="auto"/>
            </w:pPr>
          </w:p>
        </w:tc>
        <w:tc>
          <w:tcPr>
            <w:tcW w:w="3180" w:type="dxa"/>
            <w:tcMar>
              <w:top w:w="0" w:type="dxa"/>
              <w:bottom w:w="0" w:type="dxa"/>
            </w:tcMar>
            <w:vAlign w:val="center"/>
          </w:tcPr>
          <w:p w:rsidR="004E7640" w:rsidRDefault="00086EE0">
            <w:pPr>
              <w:keepNext/>
              <w:keepLines/>
              <w:spacing w:after="0" w:line="240" w:lineRule="auto"/>
            </w:pPr>
            <w:r>
              <w:rPr>
                <w:b/>
                <w:sz w:val="18"/>
              </w:rPr>
              <w:t>VIŠAK PRIHODA I PRIMITAKA (šifre X678-Y345)</w:t>
            </w:r>
          </w:p>
        </w:tc>
        <w:tc>
          <w:tcPr>
            <w:tcW w:w="700" w:type="dxa"/>
            <w:tcMar>
              <w:top w:w="0" w:type="dxa"/>
              <w:bottom w:w="0" w:type="dxa"/>
            </w:tcMar>
            <w:vAlign w:val="center"/>
          </w:tcPr>
          <w:p w:rsidR="004E7640" w:rsidRDefault="00086EE0">
            <w:pPr>
              <w:keepNext/>
              <w:keepLines/>
              <w:spacing w:after="0" w:line="240" w:lineRule="auto"/>
            </w:pPr>
            <w:r>
              <w:rPr>
                <w:b/>
                <w:sz w:val="18"/>
              </w:rPr>
              <w:t>X005</w:t>
            </w:r>
          </w:p>
        </w:tc>
        <w:tc>
          <w:tcPr>
            <w:tcW w:w="1860" w:type="dxa"/>
            <w:tcMar>
              <w:top w:w="0" w:type="dxa"/>
              <w:bottom w:w="0" w:type="dxa"/>
            </w:tcMar>
            <w:vAlign w:val="center"/>
          </w:tcPr>
          <w:p w:rsidR="004E7640" w:rsidRDefault="00086EE0">
            <w:pPr>
              <w:keepNext/>
              <w:keepLines/>
              <w:spacing w:after="0" w:line="240" w:lineRule="auto"/>
              <w:jc w:val="right"/>
            </w:pPr>
            <w:r>
              <w:rPr>
                <w:b/>
                <w:sz w:val="18"/>
              </w:rPr>
              <w:t>0,00</w:t>
            </w:r>
          </w:p>
        </w:tc>
        <w:tc>
          <w:tcPr>
            <w:tcW w:w="1860" w:type="dxa"/>
            <w:tcMar>
              <w:top w:w="0" w:type="dxa"/>
              <w:bottom w:w="0" w:type="dxa"/>
            </w:tcMar>
            <w:vAlign w:val="center"/>
          </w:tcPr>
          <w:p w:rsidR="004E7640" w:rsidRDefault="00086EE0">
            <w:pPr>
              <w:keepNext/>
              <w:keepLines/>
              <w:spacing w:after="0" w:line="240" w:lineRule="auto"/>
              <w:jc w:val="right"/>
            </w:pPr>
            <w:r>
              <w:rPr>
                <w:b/>
                <w:sz w:val="18"/>
              </w:rPr>
              <w:t>53.290,09</w:t>
            </w:r>
          </w:p>
        </w:tc>
        <w:tc>
          <w:tcPr>
            <w:tcW w:w="700" w:type="dxa"/>
            <w:tcMar>
              <w:top w:w="0" w:type="dxa"/>
              <w:bottom w:w="0" w:type="dxa"/>
            </w:tcMar>
            <w:vAlign w:val="center"/>
          </w:tcPr>
          <w:p w:rsidR="004E7640" w:rsidRDefault="00086EE0">
            <w:pPr>
              <w:keepNext/>
              <w:keepLines/>
              <w:spacing w:after="0" w:line="240" w:lineRule="auto"/>
              <w:jc w:val="right"/>
            </w:pPr>
            <w:r>
              <w:rPr>
                <w:b/>
                <w:sz w:val="18"/>
              </w:rPr>
              <w:t>-</w:t>
            </w:r>
          </w:p>
        </w:tc>
      </w:tr>
    </w:tbl>
    <w:p w:rsidR="004E7640" w:rsidRDefault="004E7640">
      <w:pPr>
        <w:spacing w:after="0"/>
      </w:pPr>
    </w:p>
    <w:p w:rsidR="004E7640" w:rsidRDefault="00086EE0" w:rsidP="006F4401">
      <w:pPr>
        <w:jc w:val="both"/>
      </w:pPr>
      <w:r>
        <w:t xml:space="preserve">Ukupni prihodi ostvareni do 30.06.2026. godine iznose 880.671,07 EUR a najveći dio  prihoda čine Tekuće pomoći iz državnog proračuna (63612) iznosa 655.645,43 EUR. Tekuće pomoći iz državnog proračuna sadrže prihode za plaće i materijalna prava zaposlenih, za naknadu zbog nezapošljavanja osoba s invaliditetom, prihode za besplatni topli obrok u školi, prihode za sufinanciranje prijevoza učeniku s poteškoćama te prihod za obilježavanje 100. godišnjice škole. Ostale pomoći 63 iznosa 513,84 EUR odnose se na pomoć  Varaždinske županije za rashode natjecanja iz njemačkog jezika na županijskoj razini. Slijedeća veća </w:t>
      </w:r>
      <w:r>
        <w:lastRenderedPageBreak/>
        <w:t>stavka u strukturi prihoda su prihodi od nadležnog proračuna osnivača škole Grada Varaždina u iznosu 188.030,87 EUR a odnose se na financiranje materijalnih rashoda u iznosu 132.817,42 EUR (6711) i na financiranje rashoda za nabavu nefinancijske imovine u iznosu 55.213,45 EUR (6712). Prihodi od sufinanciranja ručka iznose 31.310,19 EUR (65264). Prihodi od pruženih usluga (zakup dvorane i učionice) iznose 4.867,84 (6615). </w:t>
      </w:r>
    </w:p>
    <w:p w:rsidR="004E7640" w:rsidRDefault="00086EE0" w:rsidP="006F4401">
      <w:pPr>
        <w:jc w:val="both"/>
      </w:pPr>
      <w:r>
        <w:t>Ukupni rashodi (šifra 3 + šifra 4) ostvareni do 30.06.2026. godine iznose 827.380,98 EUR. Najvećim dijelom sadrže rashode za zaposlene (plaće i materijalna prava) 31=651.071,40 EUR, zatim materijalne rashode 32=133.415,65 EUR. Ostali rashodi su financijski rashodi 34=270,00 EUR, naknade građanima tj. sufinanciranje prijevoza 37= 179,20 EUR, 38-Ostali rashodi=450,00-rashodi za tekuće donacije u naravi za nabavu menstrualnih higijenskih potrepština.</w:t>
      </w:r>
    </w:p>
    <w:p w:rsidR="004E7640" w:rsidRDefault="00086EE0" w:rsidP="006F4401">
      <w:pPr>
        <w:jc w:val="both"/>
      </w:pPr>
      <w:r>
        <w:t>U ovom izvještajnom razdoblju ostvaren je višak prihoda poslovanja nad rashodima u iznosu 53.290,09 EUR. Međutim na referentnoj stranici prikazan je ukupni manjak prihoda za pokriće u sljedećem obračunskom razdoblju u iznosu 77.845,25 EUR što je rezultat pokrića prenesenog manjka prihoda iz 2025. godine u iznosu 131.135,34 EUR s navedenim ostvarenim viškom prihoda poslovanja u ovom izvještajnom razdoblju.</w:t>
      </w:r>
    </w:p>
    <w:p w:rsidR="004E7640" w:rsidRDefault="00086EE0">
      <w:r>
        <w:t> </w:t>
      </w:r>
    </w:p>
    <w:p w:rsidR="004E7640" w:rsidRDefault="00086EE0">
      <w:r>
        <w:t> </w:t>
      </w:r>
    </w:p>
    <w:p w:rsidR="004E7640" w:rsidRDefault="00086EE0">
      <w:r>
        <w:br/>
      </w:r>
    </w:p>
    <w:p w:rsidR="004E7640" w:rsidRDefault="00086EE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6361</w:t>
            </w:r>
          </w:p>
        </w:tc>
        <w:tc>
          <w:tcPr>
            <w:tcW w:w="3180" w:type="dxa"/>
            <w:tcMar>
              <w:top w:w="0" w:type="dxa"/>
              <w:bottom w:w="0" w:type="dxa"/>
            </w:tcMar>
            <w:vAlign w:val="center"/>
          </w:tcPr>
          <w:p w:rsidR="004E7640" w:rsidRDefault="00086EE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4E7640" w:rsidRDefault="00086EE0">
            <w:pPr>
              <w:keepNext/>
              <w:keepLines/>
              <w:spacing w:after="0" w:line="240" w:lineRule="auto"/>
            </w:pPr>
            <w:r>
              <w:rPr>
                <w:sz w:val="18"/>
              </w:rPr>
              <w:t>6361</w:t>
            </w:r>
          </w:p>
        </w:tc>
        <w:tc>
          <w:tcPr>
            <w:tcW w:w="1860" w:type="dxa"/>
            <w:tcMar>
              <w:top w:w="0" w:type="dxa"/>
              <w:bottom w:w="0" w:type="dxa"/>
            </w:tcMar>
            <w:vAlign w:val="center"/>
          </w:tcPr>
          <w:p w:rsidR="004E7640" w:rsidRDefault="00086EE0">
            <w:pPr>
              <w:keepNext/>
              <w:keepLines/>
              <w:spacing w:after="0" w:line="240" w:lineRule="auto"/>
              <w:jc w:val="right"/>
            </w:pPr>
            <w:r>
              <w:rPr>
                <w:sz w:val="18"/>
              </w:rPr>
              <w:t>588.888,38</w:t>
            </w:r>
          </w:p>
        </w:tc>
        <w:tc>
          <w:tcPr>
            <w:tcW w:w="1860" w:type="dxa"/>
            <w:tcMar>
              <w:top w:w="0" w:type="dxa"/>
              <w:bottom w:w="0" w:type="dxa"/>
            </w:tcMar>
            <w:vAlign w:val="center"/>
          </w:tcPr>
          <w:p w:rsidR="004E7640" w:rsidRDefault="00086EE0">
            <w:pPr>
              <w:keepNext/>
              <w:keepLines/>
              <w:spacing w:after="0" w:line="240" w:lineRule="auto"/>
              <w:jc w:val="right"/>
            </w:pPr>
            <w:r>
              <w:rPr>
                <w:sz w:val="18"/>
              </w:rPr>
              <w:t>656.159,27</w:t>
            </w:r>
          </w:p>
        </w:tc>
        <w:tc>
          <w:tcPr>
            <w:tcW w:w="700" w:type="dxa"/>
            <w:tcMar>
              <w:top w:w="0" w:type="dxa"/>
              <w:bottom w:w="0" w:type="dxa"/>
            </w:tcMar>
            <w:vAlign w:val="center"/>
          </w:tcPr>
          <w:p w:rsidR="004E7640" w:rsidRDefault="00086EE0">
            <w:pPr>
              <w:keepNext/>
              <w:keepLines/>
              <w:spacing w:after="0" w:line="240" w:lineRule="auto"/>
              <w:jc w:val="right"/>
            </w:pPr>
            <w:r>
              <w:rPr>
                <w:sz w:val="18"/>
              </w:rPr>
              <w:t>111,4</w:t>
            </w:r>
          </w:p>
        </w:tc>
      </w:tr>
    </w:tbl>
    <w:p w:rsidR="004E7640" w:rsidRDefault="004E7640">
      <w:pPr>
        <w:spacing w:after="0"/>
      </w:pPr>
    </w:p>
    <w:p w:rsidR="004E7640" w:rsidRDefault="00086EE0" w:rsidP="006F4401">
      <w:pPr>
        <w:jc w:val="both"/>
      </w:pPr>
      <w:r>
        <w:t>Ovi prihodi evidentiraju se u trenutku plaćanja rashoda kao što su rashodi za zaposlene, naknade zbog nezapošljavanja osoba s invaliditetom, rashodi besplatnog toplog obroka te razmjerno rastu povećanjem rashoda za plaće, naknade za invalide. Također evidentirana je doznaka MZOM-a za obilježavanje 100. godišnjice škole u iznosu 2.000,00 EUR.</w:t>
      </w:r>
    </w:p>
    <w:p w:rsidR="004E7640" w:rsidRDefault="004E7640"/>
    <w:p w:rsidR="004E7640" w:rsidRDefault="00086EE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6711</w:t>
            </w:r>
          </w:p>
        </w:tc>
        <w:tc>
          <w:tcPr>
            <w:tcW w:w="3180" w:type="dxa"/>
            <w:tcMar>
              <w:top w:w="0" w:type="dxa"/>
              <w:bottom w:w="0" w:type="dxa"/>
            </w:tcMar>
            <w:vAlign w:val="center"/>
          </w:tcPr>
          <w:p w:rsidR="004E7640" w:rsidRDefault="00086EE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4E7640" w:rsidRDefault="00086EE0">
            <w:pPr>
              <w:keepNext/>
              <w:keepLines/>
              <w:spacing w:after="0" w:line="240" w:lineRule="auto"/>
            </w:pPr>
            <w:r>
              <w:rPr>
                <w:sz w:val="18"/>
              </w:rPr>
              <w:t>6711</w:t>
            </w:r>
          </w:p>
        </w:tc>
        <w:tc>
          <w:tcPr>
            <w:tcW w:w="1860" w:type="dxa"/>
            <w:tcMar>
              <w:top w:w="0" w:type="dxa"/>
              <w:bottom w:w="0" w:type="dxa"/>
            </w:tcMar>
            <w:vAlign w:val="center"/>
          </w:tcPr>
          <w:p w:rsidR="004E7640" w:rsidRDefault="00086EE0">
            <w:pPr>
              <w:keepNext/>
              <w:keepLines/>
              <w:spacing w:after="0" w:line="240" w:lineRule="auto"/>
              <w:jc w:val="right"/>
            </w:pPr>
            <w:r>
              <w:rPr>
                <w:sz w:val="18"/>
              </w:rPr>
              <w:t>117.525,95</w:t>
            </w:r>
          </w:p>
        </w:tc>
        <w:tc>
          <w:tcPr>
            <w:tcW w:w="1860" w:type="dxa"/>
            <w:tcMar>
              <w:top w:w="0" w:type="dxa"/>
              <w:bottom w:w="0" w:type="dxa"/>
            </w:tcMar>
            <w:vAlign w:val="center"/>
          </w:tcPr>
          <w:p w:rsidR="004E7640" w:rsidRDefault="00086EE0">
            <w:pPr>
              <w:keepNext/>
              <w:keepLines/>
              <w:spacing w:after="0" w:line="240" w:lineRule="auto"/>
              <w:jc w:val="right"/>
            </w:pPr>
            <w:r>
              <w:rPr>
                <w:sz w:val="18"/>
              </w:rPr>
              <w:t>132.817,42</w:t>
            </w:r>
          </w:p>
        </w:tc>
        <w:tc>
          <w:tcPr>
            <w:tcW w:w="700" w:type="dxa"/>
            <w:tcMar>
              <w:top w:w="0" w:type="dxa"/>
              <w:bottom w:w="0" w:type="dxa"/>
            </w:tcMar>
            <w:vAlign w:val="center"/>
          </w:tcPr>
          <w:p w:rsidR="004E7640" w:rsidRDefault="00086EE0">
            <w:pPr>
              <w:keepNext/>
              <w:keepLines/>
              <w:spacing w:after="0" w:line="240" w:lineRule="auto"/>
              <w:jc w:val="right"/>
            </w:pPr>
            <w:r>
              <w:rPr>
                <w:sz w:val="18"/>
              </w:rPr>
              <w:t>113,0</w:t>
            </w:r>
          </w:p>
        </w:tc>
      </w:tr>
    </w:tbl>
    <w:p w:rsidR="004E7640" w:rsidRDefault="004E7640">
      <w:pPr>
        <w:spacing w:after="0"/>
      </w:pPr>
    </w:p>
    <w:p w:rsidR="004E7640" w:rsidRDefault="00086EE0" w:rsidP="006F4401">
      <w:pPr>
        <w:jc w:val="both"/>
      </w:pPr>
      <w:r>
        <w:t>Na značajno povećanje ovih prihoda utjecalo je plaćanje rashoda s kraja 2025. godine, kao i redovito plaćanje rashoda iz ovog obračunskog razdoblja. Prihodi se priznaju u trenutku plaćanja rashoda te njihovo evidentiranje ovisi o dinamici plaćanja obveza nadležnog proračuna- osnivača.</w:t>
      </w:r>
    </w:p>
    <w:p w:rsidR="004E7640" w:rsidRDefault="004E7640"/>
    <w:p w:rsidR="004E7640" w:rsidRDefault="00086EE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6712</w:t>
            </w:r>
          </w:p>
        </w:tc>
        <w:tc>
          <w:tcPr>
            <w:tcW w:w="3180" w:type="dxa"/>
            <w:tcMar>
              <w:top w:w="0" w:type="dxa"/>
              <w:bottom w:w="0" w:type="dxa"/>
            </w:tcMar>
            <w:vAlign w:val="center"/>
          </w:tcPr>
          <w:p w:rsidR="004E7640" w:rsidRDefault="00086EE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4E7640" w:rsidRDefault="00086EE0">
            <w:pPr>
              <w:keepNext/>
              <w:keepLines/>
              <w:spacing w:after="0" w:line="240" w:lineRule="auto"/>
            </w:pPr>
            <w:r>
              <w:rPr>
                <w:sz w:val="18"/>
              </w:rPr>
              <w:t>6712</w:t>
            </w:r>
          </w:p>
        </w:tc>
        <w:tc>
          <w:tcPr>
            <w:tcW w:w="1860" w:type="dxa"/>
            <w:tcMar>
              <w:top w:w="0" w:type="dxa"/>
              <w:bottom w:w="0" w:type="dxa"/>
            </w:tcMar>
            <w:vAlign w:val="center"/>
          </w:tcPr>
          <w:p w:rsidR="004E7640" w:rsidRDefault="00086EE0">
            <w:pPr>
              <w:keepNext/>
              <w:keepLines/>
              <w:spacing w:after="0" w:line="240" w:lineRule="auto"/>
              <w:jc w:val="right"/>
            </w:pPr>
            <w:r>
              <w:rPr>
                <w:sz w:val="18"/>
              </w:rPr>
              <w:t>35.237,06</w:t>
            </w:r>
          </w:p>
        </w:tc>
        <w:tc>
          <w:tcPr>
            <w:tcW w:w="1860" w:type="dxa"/>
            <w:tcMar>
              <w:top w:w="0" w:type="dxa"/>
              <w:bottom w:w="0" w:type="dxa"/>
            </w:tcMar>
            <w:vAlign w:val="center"/>
          </w:tcPr>
          <w:p w:rsidR="004E7640" w:rsidRDefault="00086EE0">
            <w:pPr>
              <w:keepNext/>
              <w:keepLines/>
              <w:spacing w:after="0" w:line="240" w:lineRule="auto"/>
              <w:jc w:val="right"/>
            </w:pPr>
            <w:r>
              <w:rPr>
                <w:sz w:val="18"/>
              </w:rPr>
              <w:t>55.213,45</w:t>
            </w:r>
          </w:p>
        </w:tc>
        <w:tc>
          <w:tcPr>
            <w:tcW w:w="700" w:type="dxa"/>
            <w:tcMar>
              <w:top w:w="0" w:type="dxa"/>
              <w:bottom w:w="0" w:type="dxa"/>
            </w:tcMar>
            <w:vAlign w:val="center"/>
          </w:tcPr>
          <w:p w:rsidR="004E7640" w:rsidRDefault="00086EE0">
            <w:pPr>
              <w:keepNext/>
              <w:keepLines/>
              <w:spacing w:after="0" w:line="240" w:lineRule="auto"/>
              <w:jc w:val="right"/>
            </w:pPr>
            <w:r>
              <w:rPr>
                <w:sz w:val="18"/>
              </w:rPr>
              <w:t>156,7</w:t>
            </w:r>
          </w:p>
        </w:tc>
      </w:tr>
    </w:tbl>
    <w:p w:rsidR="004E7640" w:rsidRDefault="004E7640">
      <w:pPr>
        <w:spacing w:after="0"/>
      </w:pPr>
    </w:p>
    <w:p w:rsidR="004E7640" w:rsidRDefault="00086EE0" w:rsidP="006F4401">
      <w:pPr>
        <w:jc w:val="both"/>
      </w:pPr>
      <w:r>
        <w:t>Ovi prihodi ostvareni su naplatom računa za nefinancijsku imovinu s kraja 2025. godine. U ovom obračunskom razdoblju ostvareni</w:t>
      </w:r>
      <w:r w:rsidR="006F4401">
        <w:t xml:space="preserve"> su prihodi po plaćanju rashoda </w:t>
      </w:r>
      <w:r>
        <w:t>nabave  nefinancijske imovine</w:t>
      </w:r>
      <w:r w:rsidR="006F4401">
        <w:t>: biciklističkih stolaca za učionice i ugradnju PVC stolarije na objektu škole.</w:t>
      </w:r>
    </w:p>
    <w:p w:rsidR="004E7640" w:rsidRDefault="004E7640"/>
    <w:p w:rsidR="004E7640" w:rsidRDefault="00086EE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3113</w:t>
            </w:r>
          </w:p>
        </w:tc>
        <w:tc>
          <w:tcPr>
            <w:tcW w:w="3180" w:type="dxa"/>
            <w:tcMar>
              <w:top w:w="0" w:type="dxa"/>
              <w:bottom w:w="0" w:type="dxa"/>
            </w:tcMar>
            <w:vAlign w:val="center"/>
          </w:tcPr>
          <w:p w:rsidR="004E7640" w:rsidRDefault="00086EE0">
            <w:pPr>
              <w:keepNext/>
              <w:keepLines/>
              <w:spacing w:after="0" w:line="240" w:lineRule="auto"/>
            </w:pPr>
            <w:r>
              <w:rPr>
                <w:sz w:val="18"/>
              </w:rPr>
              <w:t>Plaće za prekovremeni rad</w:t>
            </w:r>
          </w:p>
        </w:tc>
        <w:tc>
          <w:tcPr>
            <w:tcW w:w="700" w:type="dxa"/>
            <w:tcMar>
              <w:top w:w="0" w:type="dxa"/>
              <w:bottom w:w="0" w:type="dxa"/>
            </w:tcMar>
            <w:vAlign w:val="center"/>
          </w:tcPr>
          <w:p w:rsidR="004E7640" w:rsidRDefault="00086EE0">
            <w:pPr>
              <w:keepNext/>
              <w:keepLines/>
              <w:spacing w:after="0" w:line="240" w:lineRule="auto"/>
            </w:pPr>
            <w:r>
              <w:rPr>
                <w:sz w:val="18"/>
              </w:rPr>
              <w:t>3113</w:t>
            </w:r>
          </w:p>
        </w:tc>
        <w:tc>
          <w:tcPr>
            <w:tcW w:w="1860" w:type="dxa"/>
            <w:tcMar>
              <w:top w:w="0" w:type="dxa"/>
              <w:bottom w:w="0" w:type="dxa"/>
            </w:tcMar>
            <w:vAlign w:val="center"/>
          </w:tcPr>
          <w:p w:rsidR="004E7640" w:rsidRDefault="00086EE0">
            <w:pPr>
              <w:keepNext/>
              <w:keepLines/>
              <w:spacing w:after="0" w:line="240" w:lineRule="auto"/>
              <w:jc w:val="right"/>
            </w:pPr>
            <w:r>
              <w:rPr>
                <w:sz w:val="18"/>
              </w:rPr>
              <w:t>9.297,13</w:t>
            </w:r>
          </w:p>
        </w:tc>
        <w:tc>
          <w:tcPr>
            <w:tcW w:w="1860" w:type="dxa"/>
            <w:tcMar>
              <w:top w:w="0" w:type="dxa"/>
              <w:bottom w:w="0" w:type="dxa"/>
            </w:tcMar>
            <w:vAlign w:val="center"/>
          </w:tcPr>
          <w:p w:rsidR="004E7640" w:rsidRDefault="00086EE0">
            <w:pPr>
              <w:keepNext/>
              <w:keepLines/>
              <w:spacing w:after="0" w:line="240" w:lineRule="auto"/>
              <w:jc w:val="right"/>
            </w:pPr>
            <w:r>
              <w:rPr>
                <w:sz w:val="18"/>
              </w:rPr>
              <w:t>15.881,24</w:t>
            </w:r>
          </w:p>
        </w:tc>
        <w:tc>
          <w:tcPr>
            <w:tcW w:w="700" w:type="dxa"/>
            <w:tcMar>
              <w:top w:w="0" w:type="dxa"/>
              <w:bottom w:w="0" w:type="dxa"/>
            </w:tcMar>
            <w:vAlign w:val="center"/>
          </w:tcPr>
          <w:p w:rsidR="004E7640" w:rsidRDefault="00086EE0">
            <w:pPr>
              <w:keepNext/>
              <w:keepLines/>
              <w:spacing w:after="0" w:line="240" w:lineRule="auto"/>
              <w:jc w:val="right"/>
            </w:pPr>
            <w:r>
              <w:rPr>
                <w:sz w:val="18"/>
              </w:rPr>
              <w:t>170,8</w:t>
            </w:r>
          </w:p>
        </w:tc>
      </w:tr>
    </w:tbl>
    <w:p w:rsidR="004E7640" w:rsidRDefault="004E7640">
      <w:pPr>
        <w:spacing w:after="0"/>
      </w:pPr>
    </w:p>
    <w:p w:rsidR="004E7640" w:rsidRDefault="00086EE0" w:rsidP="006F4401">
      <w:pPr>
        <w:jc w:val="both"/>
      </w:pPr>
      <w:r>
        <w:t>Značajno je povećanje ovih troškova zbog potreba za prekovremenim radom učitelja odnosno zamjenama u nastavi uslijed čestih i dužih bolovanja učitelja.</w:t>
      </w:r>
    </w:p>
    <w:p w:rsidR="004E7640" w:rsidRDefault="004E7640"/>
    <w:p w:rsidR="004E7640" w:rsidRDefault="00086EE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3211</w:t>
            </w:r>
          </w:p>
        </w:tc>
        <w:tc>
          <w:tcPr>
            <w:tcW w:w="3180" w:type="dxa"/>
            <w:tcMar>
              <w:top w:w="0" w:type="dxa"/>
              <w:bottom w:w="0" w:type="dxa"/>
            </w:tcMar>
            <w:vAlign w:val="center"/>
          </w:tcPr>
          <w:p w:rsidR="004E7640" w:rsidRDefault="00086EE0">
            <w:pPr>
              <w:keepNext/>
              <w:keepLines/>
              <w:spacing w:after="0" w:line="240" w:lineRule="auto"/>
            </w:pPr>
            <w:r>
              <w:rPr>
                <w:sz w:val="18"/>
              </w:rPr>
              <w:t>Službena putovanja</w:t>
            </w:r>
          </w:p>
        </w:tc>
        <w:tc>
          <w:tcPr>
            <w:tcW w:w="700" w:type="dxa"/>
            <w:tcMar>
              <w:top w:w="0" w:type="dxa"/>
              <w:bottom w:w="0" w:type="dxa"/>
            </w:tcMar>
            <w:vAlign w:val="center"/>
          </w:tcPr>
          <w:p w:rsidR="004E7640" w:rsidRDefault="00086EE0">
            <w:pPr>
              <w:keepNext/>
              <w:keepLines/>
              <w:spacing w:after="0" w:line="240" w:lineRule="auto"/>
            </w:pPr>
            <w:r>
              <w:rPr>
                <w:sz w:val="18"/>
              </w:rPr>
              <w:t>3211</w:t>
            </w:r>
          </w:p>
        </w:tc>
        <w:tc>
          <w:tcPr>
            <w:tcW w:w="1860" w:type="dxa"/>
            <w:tcMar>
              <w:top w:w="0" w:type="dxa"/>
              <w:bottom w:w="0" w:type="dxa"/>
            </w:tcMar>
            <w:vAlign w:val="center"/>
          </w:tcPr>
          <w:p w:rsidR="004E7640" w:rsidRDefault="00086EE0">
            <w:pPr>
              <w:keepNext/>
              <w:keepLines/>
              <w:spacing w:after="0" w:line="240" w:lineRule="auto"/>
              <w:jc w:val="right"/>
            </w:pPr>
            <w:r>
              <w:rPr>
                <w:sz w:val="18"/>
              </w:rPr>
              <w:t>2.035,14</w:t>
            </w:r>
          </w:p>
        </w:tc>
        <w:tc>
          <w:tcPr>
            <w:tcW w:w="1860" w:type="dxa"/>
            <w:tcMar>
              <w:top w:w="0" w:type="dxa"/>
              <w:bottom w:w="0" w:type="dxa"/>
            </w:tcMar>
            <w:vAlign w:val="center"/>
          </w:tcPr>
          <w:p w:rsidR="004E7640" w:rsidRDefault="00086EE0">
            <w:pPr>
              <w:keepNext/>
              <w:keepLines/>
              <w:spacing w:after="0" w:line="240" w:lineRule="auto"/>
              <w:jc w:val="right"/>
            </w:pPr>
            <w:r>
              <w:rPr>
                <w:sz w:val="18"/>
              </w:rPr>
              <w:t>2.405,78</w:t>
            </w:r>
          </w:p>
        </w:tc>
        <w:tc>
          <w:tcPr>
            <w:tcW w:w="700" w:type="dxa"/>
            <w:tcMar>
              <w:top w:w="0" w:type="dxa"/>
              <w:bottom w:w="0" w:type="dxa"/>
            </w:tcMar>
            <w:vAlign w:val="center"/>
          </w:tcPr>
          <w:p w:rsidR="004E7640" w:rsidRDefault="00086EE0">
            <w:pPr>
              <w:keepNext/>
              <w:keepLines/>
              <w:spacing w:after="0" w:line="240" w:lineRule="auto"/>
              <w:jc w:val="right"/>
            </w:pPr>
            <w:r>
              <w:rPr>
                <w:sz w:val="18"/>
              </w:rPr>
              <w:t>118,2</w:t>
            </w:r>
          </w:p>
        </w:tc>
      </w:tr>
    </w:tbl>
    <w:p w:rsidR="004E7640" w:rsidRDefault="004E7640">
      <w:pPr>
        <w:spacing w:after="0"/>
      </w:pPr>
    </w:p>
    <w:p w:rsidR="004E7640" w:rsidRDefault="00086EE0" w:rsidP="006F4401">
      <w:pPr>
        <w:jc w:val="both"/>
      </w:pPr>
      <w:r>
        <w:t>Povećanje ovih rashoda odnosi se na veći broj isplaćenih dnevnica za višednevne izlete učenika te povećanje cijene smještaja zaposlenika na stručnom osposoblj</w:t>
      </w:r>
      <w:r w:rsidR="006F4401">
        <w:t>a</w:t>
      </w:r>
      <w:r>
        <w:t>vanju.</w:t>
      </w:r>
    </w:p>
    <w:p w:rsidR="004E7640" w:rsidRDefault="004E7640"/>
    <w:p w:rsidR="004E7640" w:rsidRDefault="00086EE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3213</w:t>
            </w:r>
          </w:p>
        </w:tc>
        <w:tc>
          <w:tcPr>
            <w:tcW w:w="3180" w:type="dxa"/>
            <w:tcMar>
              <w:top w:w="0" w:type="dxa"/>
              <w:bottom w:w="0" w:type="dxa"/>
            </w:tcMar>
            <w:vAlign w:val="center"/>
          </w:tcPr>
          <w:p w:rsidR="004E7640" w:rsidRDefault="00086EE0">
            <w:pPr>
              <w:keepNext/>
              <w:keepLines/>
              <w:spacing w:after="0" w:line="240" w:lineRule="auto"/>
            </w:pPr>
            <w:r>
              <w:rPr>
                <w:sz w:val="18"/>
              </w:rPr>
              <w:t>Stručno usavršavanje zaposlenika</w:t>
            </w:r>
          </w:p>
        </w:tc>
        <w:tc>
          <w:tcPr>
            <w:tcW w:w="700" w:type="dxa"/>
            <w:tcMar>
              <w:top w:w="0" w:type="dxa"/>
              <w:bottom w:w="0" w:type="dxa"/>
            </w:tcMar>
            <w:vAlign w:val="center"/>
          </w:tcPr>
          <w:p w:rsidR="004E7640" w:rsidRDefault="00086EE0">
            <w:pPr>
              <w:keepNext/>
              <w:keepLines/>
              <w:spacing w:after="0" w:line="240" w:lineRule="auto"/>
            </w:pPr>
            <w:r>
              <w:rPr>
                <w:sz w:val="18"/>
              </w:rPr>
              <w:t>3213</w:t>
            </w:r>
          </w:p>
        </w:tc>
        <w:tc>
          <w:tcPr>
            <w:tcW w:w="1860" w:type="dxa"/>
            <w:tcMar>
              <w:top w:w="0" w:type="dxa"/>
              <w:bottom w:w="0" w:type="dxa"/>
            </w:tcMar>
            <w:vAlign w:val="center"/>
          </w:tcPr>
          <w:p w:rsidR="004E7640" w:rsidRDefault="00086EE0">
            <w:pPr>
              <w:keepNext/>
              <w:keepLines/>
              <w:spacing w:after="0" w:line="240" w:lineRule="auto"/>
              <w:jc w:val="right"/>
            </w:pPr>
            <w:r>
              <w:rPr>
                <w:sz w:val="18"/>
              </w:rPr>
              <w:t>199,00</w:t>
            </w:r>
          </w:p>
        </w:tc>
        <w:tc>
          <w:tcPr>
            <w:tcW w:w="1860" w:type="dxa"/>
            <w:tcMar>
              <w:top w:w="0" w:type="dxa"/>
              <w:bottom w:w="0" w:type="dxa"/>
            </w:tcMar>
            <w:vAlign w:val="center"/>
          </w:tcPr>
          <w:p w:rsidR="004E7640" w:rsidRDefault="00086EE0">
            <w:pPr>
              <w:keepNext/>
              <w:keepLines/>
              <w:spacing w:after="0" w:line="240" w:lineRule="auto"/>
              <w:jc w:val="right"/>
            </w:pPr>
            <w:r>
              <w:rPr>
                <w:sz w:val="18"/>
              </w:rPr>
              <w:t>178,00</w:t>
            </w:r>
          </w:p>
        </w:tc>
        <w:tc>
          <w:tcPr>
            <w:tcW w:w="700" w:type="dxa"/>
            <w:tcMar>
              <w:top w:w="0" w:type="dxa"/>
              <w:bottom w:w="0" w:type="dxa"/>
            </w:tcMar>
            <w:vAlign w:val="center"/>
          </w:tcPr>
          <w:p w:rsidR="004E7640" w:rsidRDefault="00086EE0">
            <w:pPr>
              <w:keepNext/>
              <w:keepLines/>
              <w:spacing w:after="0" w:line="240" w:lineRule="auto"/>
              <w:jc w:val="right"/>
            </w:pPr>
            <w:r>
              <w:rPr>
                <w:sz w:val="18"/>
              </w:rPr>
              <w:t>89,4</w:t>
            </w:r>
          </w:p>
        </w:tc>
      </w:tr>
    </w:tbl>
    <w:p w:rsidR="004E7640" w:rsidRDefault="004E7640">
      <w:pPr>
        <w:spacing w:after="0"/>
      </w:pPr>
    </w:p>
    <w:p w:rsidR="004E7640" w:rsidRDefault="00086EE0" w:rsidP="006F4401">
      <w:pPr>
        <w:jc w:val="both"/>
      </w:pPr>
      <w:r>
        <w:t>Evidentirana je edukacija iz područja javne nabave radi produženja certifikata.</w:t>
      </w:r>
    </w:p>
    <w:p w:rsidR="004E7640" w:rsidRDefault="004E7640"/>
    <w:p w:rsidR="004E7640" w:rsidRDefault="00086EE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3214</w:t>
            </w:r>
          </w:p>
        </w:tc>
        <w:tc>
          <w:tcPr>
            <w:tcW w:w="3180" w:type="dxa"/>
            <w:tcMar>
              <w:top w:w="0" w:type="dxa"/>
              <w:bottom w:w="0" w:type="dxa"/>
            </w:tcMar>
            <w:vAlign w:val="center"/>
          </w:tcPr>
          <w:p w:rsidR="004E7640" w:rsidRDefault="00086EE0">
            <w:pPr>
              <w:keepNext/>
              <w:keepLines/>
              <w:spacing w:after="0" w:line="240" w:lineRule="auto"/>
            </w:pPr>
            <w:r>
              <w:rPr>
                <w:sz w:val="18"/>
              </w:rPr>
              <w:t>Ostale naknade troškova zaposlenima</w:t>
            </w:r>
          </w:p>
        </w:tc>
        <w:tc>
          <w:tcPr>
            <w:tcW w:w="700" w:type="dxa"/>
            <w:tcMar>
              <w:top w:w="0" w:type="dxa"/>
              <w:bottom w:w="0" w:type="dxa"/>
            </w:tcMar>
            <w:vAlign w:val="center"/>
          </w:tcPr>
          <w:p w:rsidR="004E7640" w:rsidRDefault="00086EE0">
            <w:pPr>
              <w:keepNext/>
              <w:keepLines/>
              <w:spacing w:after="0" w:line="240" w:lineRule="auto"/>
            </w:pPr>
            <w:r>
              <w:rPr>
                <w:sz w:val="18"/>
              </w:rPr>
              <w:t>3214</w:t>
            </w:r>
          </w:p>
        </w:tc>
        <w:tc>
          <w:tcPr>
            <w:tcW w:w="1860" w:type="dxa"/>
            <w:tcMar>
              <w:top w:w="0" w:type="dxa"/>
              <w:bottom w:w="0" w:type="dxa"/>
            </w:tcMar>
            <w:vAlign w:val="center"/>
          </w:tcPr>
          <w:p w:rsidR="004E7640" w:rsidRDefault="00086EE0">
            <w:pPr>
              <w:keepNext/>
              <w:keepLines/>
              <w:spacing w:after="0" w:line="240" w:lineRule="auto"/>
              <w:jc w:val="right"/>
            </w:pPr>
            <w:r>
              <w:rPr>
                <w:sz w:val="18"/>
              </w:rPr>
              <w:t>198,00</w:t>
            </w:r>
          </w:p>
        </w:tc>
        <w:tc>
          <w:tcPr>
            <w:tcW w:w="1860" w:type="dxa"/>
            <w:tcMar>
              <w:top w:w="0" w:type="dxa"/>
              <w:bottom w:w="0" w:type="dxa"/>
            </w:tcMar>
            <w:vAlign w:val="center"/>
          </w:tcPr>
          <w:p w:rsidR="004E7640" w:rsidRDefault="00086EE0">
            <w:pPr>
              <w:keepNext/>
              <w:keepLines/>
              <w:spacing w:after="0" w:line="240" w:lineRule="auto"/>
              <w:jc w:val="right"/>
            </w:pPr>
            <w:r>
              <w:rPr>
                <w:sz w:val="18"/>
              </w:rPr>
              <w:t>162,00</w:t>
            </w:r>
          </w:p>
        </w:tc>
        <w:tc>
          <w:tcPr>
            <w:tcW w:w="700" w:type="dxa"/>
            <w:tcMar>
              <w:top w:w="0" w:type="dxa"/>
              <w:bottom w:w="0" w:type="dxa"/>
            </w:tcMar>
            <w:vAlign w:val="center"/>
          </w:tcPr>
          <w:p w:rsidR="004E7640" w:rsidRDefault="00086EE0">
            <w:pPr>
              <w:keepNext/>
              <w:keepLines/>
              <w:spacing w:after="0" w:line="240" w:lineRule="auto"/>
              <w:jc w:val="right"/>
            </w:pPr>
            <w:r>
              <w:rPr>
                <w:sz w:val="18"/>
              </w:rPr>
              <w:t>81,8</w:t>
            </w:r>
          </w:p>
        </w:tc>
      </w:tr>
    </w:tbl>
    <w:p w:rsidR="004E7640" w:rsidRDefault="004E7640">
      <w:pPr>
        <w:spacing w:after="0"/>
      </w:pPr>
    </w:p>
    <w:p w:rsidR="004E7640" w:rsidRDefault="00086EE0" w:rsidP="006F4401">
      <w:pPr>
        <w:jc w:val="both"/>
      </w:pPr>
      <w:r>
        <w:t xml:space="preserve">Ovdje se evidentiraju rashodi </w:t>
      </w:r>
      <w:proofErr w:type="spellStart"/>
      <w:r>
        <w:t>loko</w:t>
      </w:r>
      <w:proofErr w:type="spellEnd"/>
      <w:r>
        <w:t xml:space="preserve"> vožnje, a pošto ju racionalno koristimo, nakon što se skupe dokumenti za proslijediti Osnivaču i ostale potrebe, trošak se smanjio u odnosu na prethodnu godinu.</w:t>
      </w:r>
    </w:p>
    <w:p w:rsidR="004E7640" w:rsidRDefault="004E7640"/>
    <w:p w:rsidR="004E7640" w:rsidRDefault="00086EE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3223</w:t>
            </w:r>
          </w:p>
        </w:tc>
        <w:tc>
          <w:tcPr>
            <w:tcW w:w="3180" w:type="dxa"/>
            <w:tcMar>
              <w:top w:w="0" w:type="dxa"/>
              <w:bottom w:w="0" w:type="dxa"/>
            </w:tcMar>
            <w:vAlign w:val="center"/>
          </w:tcPr>
          <w:p w:rsidR="004E7640" w:rsidRDefault="00086EE0">
            <w:pPr>
              <w:keepNext/>
              <w:keepLines/>
              <w:spacing w:after="0" w:line="240" w:lineRule="auto"/>
            </w:pPr>
            <w:r>
              <w:rPr>
                <w:sz w:val="18"/>
              </w:rPr>
              <w:t>Energija</w:t>
            </w:r>
          </w:p>
        </w:tc>
        <w:tc>
          <w:tcPr>
            <w:tcW w:w="700" w:type="dxa"/>
            <w:tcMar>
              <w:top w:w="0" w:type="dxa"/>
              <w:bottom w:w="0" w:type="dxa"/>
            </w:tcMar>
            <w:vAlign w:val="center"/>
          </w:tcPr>
          <w:p w:rsidR="004E7640" w:rsidRDefault="00086EE0">
            <w:pPr>
              <w:keepNext/>
              <w:keepLines/>
              <w:spacing w:after="0" w:line="240" w:lineRule="auto"/>
            </w:pPr>
            <w:r>
              <w:rPr>
                <w:sz w:val="18"/>
              </w:rPr>
              <w:t>3223</w:t>
            </w:r>
          </w:p>
        </w:tc>
        <w:tc>
          <w:tcPr>
            <w:tcW w:w="1860" w:type="dxa"/>
            <w:tcMar>
              <w:top w:w="0" w:type="dxa"/>
              <w:bottom w:w="0" w:type="dxa"/>
            </w:tcMar>
            <w:vAlign w:val="center"/>
          </w:tcPr>
          <w:p w:rsidR="004E7640" w:rsidRDefault="00086EE0">
            <w:pPr>
              <w:keepNext/>
              <w:keepLines/>
              <w:spacing w:after="0" w:line="240" w:lineRule="auto"/>
              <w:jc w:val="right"/>
            </w:pPr>
            <w:r>
              <w:rPr>
                <w:sz w:val="18"/>
              </w:rPr>
              <w:t>12.691,08</w:t>
            </w:r>
          </w:p>
        </w:tc>
        <w:tc>
          <w:tcPr>
            <w:tcW w:w="1860" w:type="dxa"/>
            <w:tcMar>
              <w:top w:w="0" w:type="dxa"/>
              <w:bottom w:w="0" w:type="dxa"/>
            </w:tcMar>
            <w:vAlign w:val="center"/>
          </w:tcPr>
          <w:p w:rsidR="004E7640" w:rsidRDefault="00086EE0">
            <w:pPr>
              <w:keepNext/>
              <w:keepLines/>
              <w:spacing w:after="0" w:line="240" w:lineRule="auto"/>
              <w:jc w:val="right"/>
            </w:pPr>
            <w:r>
              <w:rPr>
                <w:sz w:val="18"/>
              </w:rPr>
              <w:t>15.559,87</w:t>
            </w:r>
          </w:p>
        </w:tc>
        <w:tc>
          <w:tcPr>
            <w:tcW w:w="700" w:type="dxa"/>
            <w:tcMar>
              <w:top w:w="0" w:type="dxa"/>
              <w:bottom w:w="0" w:type="dxa"/>
            </w:tcMar>
            <w:vAlign w:val="center"/>
          </w:tcPr>
          <w:p w:rsidR="004E7640" w:rsidRDefault="00086EE0">
            <w:pPr>
              <w:keepNext/>
              <w:keepLines/>
              <w:spacing w:after="0" w:line="240" w:lineRule="auto"/>
              <w:jc w:val="right"/>
            </w:pPr>
            <w:r>
              <w:rPr>
                <w:sz w:val="18"/>
              </w:rPr>
              <w:t>122,6</w:t>
            </w:r>
          </w:p>
        </w:tc>
      </w:tr>
    </w:tbl>
    <w:p w:rsidR="004E7640" w:rsidRDefault="004E7640">
      <w:pPr>
        <w:spacing w:after="0"/>
      </w:pPr>
    </w:p>
    <w:p w:rsidR="004E7640" w:rsidRDefault="00086EE0" w:rsidP="006F4401">
      <w:pPr>
        <w:jc w:val="both"/>
      </w:pPr>
      <w:r>
        <w:t>Značajno povećanje troškova za energiju odnosi se na utrošeni plin zbog potrebe za dužim grijanjem škole u proljeće.</w:t>
      </w:r>
    </w:p>
    <w:p w:rsidR="004E7640" w:rsidRDefault="004E7640"/>
    <w:p w:rsidR="004E7640" w:rsidRDefault="00086EE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3231</w:t>
            </w:r>
          </w:p>
        </w:tc>
        <w:tc>
          <w:tcPr>
            <w:tcW w:w="3180" w:type="dxa"/>
            <w:tcMar>
              <w:top w:w="0" w:type="dxa"/>
              <w:bottom w:w="0" w:type="dxa"/>
            </w:tcMar>
            <w:vAlign w:val="center"/>
          </w:tcPr>
          <w:p w:rsidR="004E7640" w:rsidRDefault="00086EE0">
            <w:pPr>
              <w:keepNext/>
              <w:keepLines/>
              <w:spacing w:after="0" w:line="240" w:lineRule="auto"/>
            </w:pPr>
            <w:r>
              <w:rPr>
                <w:sz w:val="18"/>
              </w:rPr>
              <w:t>Usluge telefona, interneta, pošte i prijevoza</w:t>
            </w:r>
          </w:p>
        </w:tc>
        <w:tc>
          <w:tcPr>
            <w:tcW w:w="700" w:type="dxa"/>
            <w:tcMar>
              <w:top w:w="0" w:type="dxa"/>
              <w:bottom w:w="0" w:type="dxa"/>
            </w:tcMar>
            <w:vAlign w:val="center"/>
          </w:tcPr>
          <w:p w:rsidR="004E7640" w:rsidRDefault="00086EE0">
            <w:pPr>
              <w:keepNext/>
              <w:keepLines/>
              <w:spacing w:after="0" w:line="240" w:lineRule="auto"/>
            </w:pPr>
            <w:r>
              <w:rPr>
                <w:sz w:val="18"/>
              </w:rPr>
              <w:t>3231</w:t>
            </w:r>
          </w:p>
        </w:tc>
        <w:tc>
          <w:tcPr>
            <w:tcW w:w="1860" w:type="dxa"/>
            <w:tcMar>
              <w:top w:w="0" w:type="dxa"/>
              <w:bottom w:w="0" w:type="dxa"/>
            </w:tcMar>
            <w:vAlign w:val="center"/>
          </w:tcPr>
          <w:p w:rsidR="004E7640" w:rsidRDefault="00086EE0">
            <w:pPr>
              <w:keepNext/>
              <w:keepLines/>
              <w:spacing w:after="0" w:line="240" w:lineRule="auto"/>
              <w:jc w:val="right"/>
            </w:pPr>
            <w:r>
              <w:rPr>
                <w:sz w:val="18"/>
              </w:rPr>
              <w:t>14.778,89</w:t>
            </w:r>
          </w:p>
        </w:tc>
        <w:tc>
          <w:tcPr>
            <w:tcW w:w="1860" w:type="dxa"/>
            <w:tcMar>
              <w:top w:w="0" w:type="dxa"/>
              <w:bottom w:w="0" w:type="dxa"/>
            </w:tcMar>
            <w:vAlign w:val="center"/>
          </w:tcPr>
          <w:p w:rsidR="004E7640" w:rsidRDefault="00086EE0">
            <w:pPr>
              <w:keepNext/>
              <w:keepLines/>
              <w:spacing w:after="0" w:line="240" w:lineRule="auto"/>
              <w:jc w:val="right"/>
            </w:pPr>
            <w:r>
              <w:rPr>
                <w:sz w:val="18"/>
              </w:rPr>
              <w:t>20.863,49</w:t>
            </w:r>
          </w:p>
        </w:tc>
        <w:tc>
          <w:tcPr>
            <w:tcW w:w="700" w:type="dxa"/>
            <w:tcMar>
              <w:top w:w="0" w:type="dxa"/>
              <w:bottom w:w="0" w:type="dxa"/>
            </w:tcMar>
            <w:vAlign w:val="center"/>
          </w:tcPr>
          <w:p w:rsidR="004E7640" w:rsidRDefault="00086EE0">
            <w:pPr>
              <w:keepNext/>
              <w:keepLines/>
              <w:spacing w:after="0" w:line="240" w:lineRule="auto"/>
              <w:jc w:val="right"/>
            </w:pPr>
            <w:r>
              <w:rPr>
                <w:sz w:val="18"/>
              </w:rPr>
              <w:t>141,2</w:t>
            </w:r>
          </w:p>
        </w:tc>
      </w:tr>
    </w:tbl>
    <w:p w:rsidR="004E7640" w:rsidRDefault="004E7640">
      <w:pPr>
        <w:spacing w:after="0"/>
      </w:pPr>
    </w:p>
    <w:p w:rsidR="004E7640" w:rsidRDefault="00086EE0">
      <w:r>
        <w:t>Povećanje ovih rashoda povezana je sa povećanjem ugovorene cijene prijevoza učenika u školu i iz škole.</w:t>
      </w:r>
    </w:p>
    <w:p w:rsidR="004E7640" w:rsidRDefault="004E7640"/>
    <w:p w:rsidR="004E7640" w:rsidRDefault="00086EE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3232</w:t>
            </w:r>
          </w:p>
        </w:tc>
        <w:tc>
          <w:tcPr>
            <w:tcW w:w="3180" w:type="dxa"/>
            <w:tcMar>
              <w:top w:w="0" w:type="dxa"/>
              <w:bottom w:w="0" w:type="dxa"/>
            </w:tcMar>
            <w:vAlign w:val="center"/>
          </w:tcPr>
          <w:p w:rsidR="004E7640" w:rsidRDefault="00086EE0">
            <w:pPr>
              <w:keepNext/>
              <w:keepLines/>
              <w:spacing w:after="0" w:line="240" w:lineRule="auto"/>
            </w:pPr>
            <w:r>
              <w:rPr>
                <w:sz w:val="18"/>
              </w:rPr>
              <w:t>Usluge tekućeg i investicijskog održavanja</w:t>
            </w:r>
          </w:p>
        </w:tc>
        <w:tc>
          <w:tcPr>
            <w:tcW w:w="700" w:type="dxa"/>
            <w:tcMar>
              <w:top w:w="0" w:type="dxa"/>
              <w:bottom w:w="0" w:type="dxa"/>
            </w:tcMar>
            <w:vAlign w:val="center"/>
          </w:tcPr>
          <w:p w:rsidR="004E7640" w:rsidRDefault="00086EE0">
            <w:pPr>
              <w:keepNext/>
              <w:keepLines/>
              <w:spacing w:after="0" w:line="240" w:lineRule="auto"/>
            </w:pPr>
            <w:r>
              <w:rPr>
                <w:sz w:val="18"/>
              </w:rPr>
              <w:t>3232</w:t>
            </w:r>
          </w:p>
        </w:tc>
        <w:tc>
          <w:tcPr>
            <w:tcW w:w="1860" w:type="dxa"/>
            <w:tcMar>
              <w:top w:w="0" w:type="dxa"/>
              <w:bottom w:w="0" w:type="dxa"/>
            </w:tcMar>
            <w:vAlign w:val="center"/>
          </w:tcPr>
          <w:p w:rsidR="004E7640" w:rsidRDefault="00086EE0">
            <w:pPr>
              <w:keepNext/>
              <w:keepLines/>
              <w:spacing w:after="0" w:line="240" w:lineRule="auto"/>
              <w:jc w:val="right"/>
            </w:pPr>
            <w:r>
              <w:rPr>
                <w:sz w:val="18"/>
              </w:rPr>
              <w:t>13.421,64</w:t>
            </w:r>
          </w:p>
        </w:tc>
        <w:tc>
          <w:tcPr>
            <w:tcW w:w="1860" w:type="dxa"/>
            <w:tcMar>
              <w:top w:w="0" w:type="dxa"/>
              <w:bottom w:w="0" w:type="dxa"/>
            </w:tcMar>
            <w:vAlign w:val="center"/>
          </w:tcPr>
          <w:p w:rsidR="004E7640" w:rsidRDefault="00086EE0">
            <w:pPr>
              <w:keepNext/>
              <w:keepLines/>
              <w:spacing w:after="0" w:line="240" w:lineRule="auto"/>
              <w:jc w:val="right"/>
            </w:pPr>
            <w:r>
              <w:rPr>
                <w:sz w:val="18"/>
              </w:rPr>
              <w:t>1.550,19</w:t>
            </w:r>
          </w:p>
        </w:tc>
        <w:tc>
          <w:tcPr>
            <w:tcW w:w="700" w:type="dxa"/>
            <w:tcMar>
              <w:top w:w="0" w:type="dxa"/>
              <w:bottom w:w="0" w:type="dxa"/>
            </w:tcMar>
            <w:vAlign w:val="center"/>
          </w:tcPr>
          <w:p w:rsidR="004E7640" w:rsidRDefault="00086EE0">
            <w:pPr>
              <w:keepNext/>
              <w:keepLines/>
              <w:spacing w:after="0" w:line="240" w:lineRule="auto"/>
              <w:jc w:val="right"/>
            </w:pPr>
            <w:r>
              <w:rPr>
                <w:sz w:val="18"/>
              </w:rPr>
              <w:t>11,5</w:t>
            </w:r>
          </w:p>
        </w:tc>
      </w:tr>
    </w:tbl>
    <w:p w:rsidR="004E7640" w:rsidRDefault="004E7640">
      <w:pPr>
        <w:spacing w:after="0"/>
      </w:pPr>
    </w:p>
    <w:p w:rsidR="004E7640" w:rsidRDefault="00086EE0" w:rsidP="006F4401">
      <w:pPr>
        <w:jc w:val="both"/>
      </w:pPr>
      <w:r>
        <w:t>Sukladno potrebama za održavanjem škole ostvaruju se rashodi za ove usluge, odnosno popravke opreme.</w:t>
      </w:r>
    </w:p>
    <w:p w:rsidR="004E7640" w:rsidRDefault="004E7640"/>
    <w:p w:rsidR="004E7640" w:rsidRDefault="00086EE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3235</w:t>
            </w:r>
          </w:p>
        </w:tc>
        <w:tc>
          <w:tcPr>
            <w:tcW w:w="3180" w:type="dxa"/>
            <w:tcMar>
              <w:top w:w="0" w:type="dxa"/>
              <w:bottom w:w="0" w:type="dxa"/>
            </w:tcMar>
            <w:vAlign w:val="center"/>
          </w:tcPr>
          <w:p w:rsidR="004E7640" w:rsidRDefault="00086EE0">
            <w:pPr>
              <w:keepNext/>
              <w:keepLines/>
              <w:spacing w:after="0" w:line="240" w:lineRule="auto"/>
            </w:pPr>
            <w:r>
              <w:rPr>
                <w:sz w:val="18"/>
              </w:rPr>
              <w:t>Zakupnine i najamnine</w:t>
            </w:r>
          </w:p>
        </w:tc>
        <w:tc>
          <w:tcPr>
            <w:tcW w:w="700" w:type="dxa"/>
            <w:tcMar>
              <w:top w:w="0" w:type="dxa"/>
              <w:bottom w:w="0" w:type="dxa"/>
            </w:tcMar>
            <w:vAlign w:val="center"/>
          </w:tcPr>
          <w:p w:rsidR="004E7640" w:rsidRDefault="00086EE0">
            <w:pPr>
              <w:keepNext/>
              <w:keepLines/>
              <w:spacing w:after="0" w:line="240" w:lineRule="auto"/>
            </w:pPr>
            <w:r>
              <w:rPr>
                <w:sz w:val="18"/>
              </w:rPr>
              <w:t>3235</w:t>
            </w:r>
          </w:p>
        </w:tc>
        <w:tc>
          <w:tcPr>
            <w:tcW w:w="1860" w:type="dxa"/>
            <w:tcMar>
              <w:top w:w="0" w:type="dxa"/>
              <w:bottom w:w="0" w:type="dxa"/>
            </w:tcMar>
            <w:vAlign w:val="center"/>
          </w:tcPr>
          <w:p w:rsidR="004E7640" w:rsidRDefault="00086EE0">
            <w:pPr>
              <w:keepNext/>
              <w:keepLines/>
              <w:spacing w:after="0" w:line="240" w:lineRule="auto"/>
              <w:jc w:val="right"/>
            </w:pPr>
            <w:r>
              <w:rPr>
                <w:sz w:val="18"/>
              </w:rPr>
              <w:t>1.268,68</w:t>
            </w:r>
          </w:p>
        </w:tc>
        <w:tc>
          <w:tcPr>
            <w:tcW w:w="1860" w:type="dxa"/>
            <w:tcMar>
              <w:top w:w="0" w:type="dxa"/>
              <w:bottom w:w="0" w:type="dxa"/>
            </w:tcMar>
            <w:vAlign w:val="center"/>
          </w:tcPr>
          <w:p w:rsidR="004E7640" w:rsidRDefault="00086EE0">
            <w:pPr>
              <w:keepNext/>
              <w:keepLines/>
              <w:spacing w:after="0" w:line="240" w:lineRule="auto"/>
              <w:jc w:val="right"/>
            </w:pPr>
            <w:r>
              <w:rPr>
                <w:sz w:val="18"/>
              </w:rPr>
              <w:t>1.099,26</w:t>
            </w:r>
          </w:p>
        </w:tc>
        <w:tc>
          <w:tcPr>
            <w:tcW w:w="700" w:type="dxa"/>
            <w:tcMar>
              <w:top w:w="0" w:type="dxa"/>
              <w:bottom w:w="0" w:type="dxa"/>
            </w:tcMar>
            <w:vAlign w:val="center"/>
          </w:tcPr>
          <w:p w:rsidR="004E7640" w:rsidRDefault="00086EE0">
            <w:pPr>
              <w:keepNext/>
              <w:keepLines/>
              <w:spacing w:after="0" w:line="240" w:lineRule="auto"/>
              <w:jc w:val="right"/>
            </w:pPr>
            <w:r>
              <w:rPr>
                <w:sz w:val="18"/>
              </w:rPr>
              <w:t>86,6</w:t>
            </w:r>
          </w:p>
        </w:tc>
      </w:tr>
    </w:tbl>
    <w:p w:rsidR="004E7640" w:rsidRDefault="004E7640">
      <w:pPr>
        <w:spacing w:after="0"/>
      </w:pPr>
    </w:p>
    <w:p w:rsidR="004E7640" w:rsidRDefault="00086EE0" w:rsidP="006F4401">
      <w:pPr>
        <w:jc w:val="both"/>
      </w:pPr>
      <w:r>
        <w:t>Evidentirani su rashodi zakupa fotokopirnog aparata u zbornici za potrebe ispisa i kopiranja materijala potrebnih za rad učitelja. Razmjerno tome su veliki iznosi računa za zakup fotokopirnog aparata, odnosno manji su u odnosu na isto razdoblje prethodne godine.</w:t>
      </w:r>
    </w:p>
    <w:p w:rsidR="004E7640" w:rsidRDefault="004E7640"/>
    <w:p w:rsidR="004E7640" w:rsidRDefault="00086EE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3236</w:t>
            </w:r>
          </w:p>
        </w:tc>
        <w:tc>
          <w:tcPr>
            <w:tcW w:w="3180" w:type="dxa"/>
            <w:tcMar>
              <w:top w:w="0" w:type="dxa"/>
              <w:bottom w:w="0" w:type="dxa"/>
            </w:tcMar>
            <w:vAlign w:val="center"/>
          </w:tcPr>
          <w:p w:rsidR="004E7640" w:rsidRDefault="00086EE0">
            <w:pPr>
              <w:keepNext/>
              <w:keepLines/>
              <w:spacing w:after="0" w:line="240" w:lineRule="auto"/>
            </w:pPr>
            <w:r>
              <w:rPr>
                <w:sz w:val="18"/>
              </w:rPr>
              <w:t>Zdravstvene i veterinarske usluge</w:t>
            </w:r>
          </w:p>
        </w:tc>
        <w:tc>
          <w:tcPr>
            <w:tcW w:w="700" w:type="dxa"/>
            <w:tcMar>
              <w:top w:w="0" w:type="dxa"/>
              <w:bottom w:w="0" w:type="dxa"/>
            </w:tcMar>
            <w:vAlign w:val="center"/>
          </w:tcPr>
          <w:p w:rsidR="004E7640" w:rsidRDefault="00086EE0">
            <w:pPr>
              <w:keepNext/>
              <w:keepLines/>
              <w:spacing w:after="0" w:line="240" w:lineRule="auto"/>
            </w:pPr>
            <w:r>
              <w:rPr>
                <w:sz w:val="18"/>
              </w:rPr>
              <w:t>3236</w:t>
            </w:r>
          </w:p>
        </w:tc>
        <w:tc>
          <w:tcPr>
            <w:tcW w:w="1860" w:type="dxa"/>
            <w:tcMar>
              <w:top w:w="0" w:type="dxa"/>
              <w:bottom w:w="0" w:type="dxa"/>
            </w:tcMar>
            <w:vAlign w:val="center"/>
          </w:tcPr>
          <w:p w:rsidR="004E7640" w:rsidRDefault="00086EE0">
            <w:pPr>
              <w:keepNext/>
              <w:keepLines/>
              <w:spacing w:after="0" w:line="240" w:lineRule="auto"/>
              <w:jc w:val="right"/>
            </w:pPr>
            <w:r>
              <w:rPr>
                <w:sz w:val="18"/>
              </w:rPr>
              <w:t>353,19</w:t>
            </w:r>
          </w:p>
        </w:tc>
        <w:tc>
          <w:tcPr>
            <w:tcW w:w="1860" w:type="dxa"/>
            <w:tcMar>
              <w:top w:w="0" w:type="dxa"/>
              <w:bottom w:w="0" w:type="dxa"/>
            </w:tcMar>
            <w:vAlign w:val="center"/>
          </w:tcPr>
          <w:p w:rsidR="004E7640" w:rsidRDefault="00086EE0">
            <w:pPr>
              <w:keepNext/>
              <w:keepLines/>
              <w:spacing w:after="0" w:line="240" w:lineRule="auto"/>
              <w:jc w:val="right"/>
            </w:pPr>
            <w:r>
              <w:rPr>
                <w:sz w:val="18"/>
              </w:rPr>
              <w:t>261,44</w:t>
            </w:r>
          </w:p>
        </w:tc>
        <w:tc>
          <w:tcPr>
            <w:tcW w:w="700" w:type="dxa"/>
            <w:tcMar>
              <w:top w:w="0" w:type="dxa"/>
              <w:bottom w:w="0" w:type="dxa"/>
            </w:tcMar>
            <w:vAlign w:val="center"/>
          </w:tcPr>
          <w:p w:rsidR="004E7640" w:rsidRDefault="00086EE0">
            <w:pPr>
              <w:keepNext/>
              <w:keepLines/>
              <w:spacing w:after="0" w:line="240" w:lineRule="auto"/>
              <w:jc w:val="right"/>
            </w:pPr>
            <w:r>
              <w:rPr>
                <w:sz w:val="18"/>
              </w:rPr>
              <w:t>74,0</w:t>
            </w:r>
          </w:p>
        </w:tc>
      </w:tr>
    </w:tbl>
    <w:p w:rsidR="004E7640" w:rsidRDefault="004E7640">
      <w:pPr>
        <w:spacing w:after="0"/>
      </w:pPr>
    </w:p>
    <w:p w:rsidR="004E7640" w:rsidRDefault="00086EE0" w:rsidP="006F4401">
      <w:pPr>
        <w:jc w:val="both"/>
      </w:pPr>
      <w:r>
        <w:t>Evidentiraju se rashodi redovitih mikrobioloških ispitivanja u školskoj kuhinji od strane HZZO.</w:t>
      </w:r>
    </w:p>
    <w:p w:rsidR="004E7640" w:rsidRDefault="004E7640"/>
    <w:p w:rsidR="004E7640" w:rsidRDefault="00086EE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3237</w:t>
            </w:r>
          </w:p>
        </w:tc>
        <w:tc>
          <w:tcPr>
            <w:tcW w:w="3180" w:type="dxa"/>
            <w:tcMar>
              <w:top w:w="0" w:type="dxa"/>
              <w:bottom w:w="0" w:type="dxa"/>
            </w:tcMar>
            <w:vAlign w:val="center"/>
          </w:tcPr>
          <w:p w:rsidR="004E7640" w:rsidRDefault="00086EE0">
            <w:pPr>
              <w:keepNext/>
              <w:keepLines/>
              <w:spacing w:after="0" w:line="240" w:lineRule="auto"/>
            </w:pPr>
            <w:r>
              <w:rPr>
                <w:sz w:val="18"/>
              </w:rPr>
              <w:t>Intelektualne i osobne usluge</w:t>
            </w:r>
          </w:p>
        </w:tc>
        <w:tc>
          <w:tcPr>
            <w:tcW w:w="700" w:type="dxa"/>
            <w:tcMar>
              <w:top w:w="0" w:type="dxa"/>
              <w:bottom w:w="0" w:type="dxa"/>
            </w:tcMar>
            <w:vAlign w:val="center"/>
          </w:tcPr>
          <w:p w:rsidR="004E7640" w:rsidRDefault="00086EE0">
            <w:pPr>
              <w:keepNext/>
              <w:keepLines/>
              <w:spacing w:after="0" w:line="240" w:lineRule="auto"/>
            </w:pPr>
            <w:r>
              <w:rPr>
                <w:sz w:val="18"/>
              </w:rPr>
              <w:t>3237</w:t>
            </w:r>
          </w:p>
        </w:tc>
        <w:tc>
          <w:tcPr>
            <w:tcW w:w="1860" w:type="dxa"/>
            <w:tcMar>
              <w:top w:w="0" w:type="dxa"/>
              <w:bottom w:w="0" w:type="dxa"/>
            </w:tcMar>
            <w:vAlign w:val="center"/>
          </w:tcPr>
          <w:p w:rsidR="004E7640" w:rsidRDefault="00086EE0">
            <w:pPr>
              <w:keepNext/>
              <w:keepLines/>
              <w:spacing w:after="0" w:line="240" w:lineRule="auto"/>
              <w:jc w:val="right"/>
            </w:pPr>
            <w:r>
              <w:rPr>
                <w:sz w:val="18"/>
              </w:rPr>
              <w:t>127,40</w:t>
            </w:r>
          </w:p>
        </w:tc>
        <w:tc>
          <w:tcPr>
            <w:tcW w:w="1860" w:type="dxa"/>
            <w:tcMar>
              <w:top w:w="0" w:type="dxa"/>
              <w:bottom w:w="0" w:type="dxa"/>
            </w:tcMar>
            <w:vAlign w:val="center"/>
          </w:tcPr>
          <w:p w:rsidR="004E7640" w:rsidRDefault="00086EE0">
            <w:pPr>
              <w:keepNext/>
              <w:keepLines/>
              <w:spacing w:after="0" w:line="240" w:lineRule="auto"/>
              <w:jc w:val="right"/>
            </w:pPr>
            <w:r>
              <w:rPr>
                <w:sz w:val="18"/>
              </w:rPr>
              <w:t>160,00</w:t>
            </w:r>
          </w:p>
        </w:tc>
        <w:tc>
          <w:tcPr>
            <w:tcW w:w="700" w:type="dxa"/>
            <w:tcMar>
              <w:top w:w="0" w:type="dxa"/>
              <w:bottom w:w="0" w:type="dxa"/>
            </w:tcMar>
            <w:vAlign w:val="center"/>
          </w:tcPr>
          <w:p w:rsidR="004E7640" w:rsidRDefault="00086EE0">
            <w:pPr>
              <w:keepNext/>
              <w:keepLines/>
              <w:spacing w:after="0" w:line="240" w:lineRule="auto"/>
              <w:jc w:val="right"/>
            </w:pPr>
            <w:r>
              <w:rPr>
                <w:sz w:val="18"/>
              </w:rPr>
              <w:t>125,6</w:t>
            </w:r>
          </w:p>
        </w:tc>
      </w:tr>
    </w:tbl>
    <w:p w:rsidR="004E7640" w:rsidRDefault="004E7640">
      <w:pPr>
        <w:spacing w:after="0"/>
      </w:pPr>
    </w:p>
    <w:p w:rsidR="004E7640" w:rsidRDefault="00086EE0" w:rsidP="006F4401">
      <w:pPr>
        <w:jc w:val="both"/>
      </w:pPr>
      <w:r>
        <w:t>Evidentirani su Ugovori o djelu mentorima na županijskom natjecanju iz njemačkog jezika koje financira Varaždinska županija i sukladno Zaključku i Rješenjima isplaćeni su Ugovori o djelu mentorima. Iznos Ugovara o djelu povećan je na 40,00 EUR.</w:t>
      </w:r>
    </w:p>
    <w:p w:rsidR="004E7640" w:rsidRDefault="004E7640"/>
    <w:p w:rsidR="004E7640" w:rsidRDefault="00086EE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3238</w:t>
            </w:r>
          </w:p>
        </w:tc>
        <w:tc>
          <w:tcPr>
            <w:tcW w:w="3180" w:type="dxa"/>
            <w:tcMar>
              <w:top w:w="0" w:type="dxa"/>
              <w:bottom w:w="0" w:type="dxa"/>
            </w:tcMar>
            <w:vAlign w:val="center"/>
          </w:tcPr>
          <w:p w:rsidR="004E7640" w:rsidRDefault="00086EE0">
            <w:pPr>
              <w:keepNext/>
              <w:keepLines/>
              <w:spacing w:after="0" w:line="240" w:lineRule="auto"/>
            </w:pPr>
            <w:r>
              <w:rPr>
                <w:sz w:val="18"/>
              </w:rPr>
              <w:t>Računalne usluge</w:t>
            </w:r>
          </w:p>
        </w:tc>
        <w:tc>
          <w:tcPr>
            <w:tcW w:w="700" w:type="dxa"/>
            <w:tcMar>
              <w:top w:w="0" w:type="dxa"/>
              <w:bottom w:w="0" w:type="dxa"/>
            </w:tcMar>
            <w:vAlign w:val="center"/>
          </w:tcPr>
          <w:p w:rsidR="004E7640" w:rsidRDefault="00086EE0">
            <w:pPr>
              <w:keepNext/>
              <w:keepLines/>
              <w:spacing w:after="0" w:line="240" w:lineRule="auto"/>
            </w:pPr>
            <w:r>
              <w:rPr>
                <w:sz w:val="18"/>
              </w:rPr>
              <w:t>3238</w:t>
            </w:r>
          </w:p>
        </w:tc>
        <w:tc>
          <w:tcPr>
            <w:tcW w:w="1860" w:type="dxa"/>
            <w:tcMar>
              <w:top w:w="0" w:type="dxa"/>
              <w:bottom w:w="0" w:type="dxa"/>
            </w:tcMar>
            <w:vAlign w:val="center"/>
          </w:tcPr>
          <w:p w:rsidR="004E7640" w:rsidRDefault="00086EE0">
            <w:pPr>
              <w:keepNext/>
              <w:keepLines/>
              <w:spacing w:after="0" w:line="240" w:lineRule="auto"/>
              <w:jc w:val="right"/>
            </w:pPr>
            <w:r>
              <w:rPr>
                <w:sz w:val="18"/>
              </w:rPr>
              <w:t>312,14</w:t>
            </w:r>
          </w:p>
        </w:tc>
        <w:tc>
          <w:tcPr>
            <w:tcW w:w="1860" w:type="dxa"/>
            <w:tcMar>
              <w:top w:w="0" w:type="dxa"/>
              <w:bottom w:w="0" w:type="dxa"/>
            </w:tcMar>
            <w:vAlign w:val="center"/>
          </w:tcPr>
          <w:p w:rsidR="004E7640" w:rsidRDefault="00086EE0">
            <w:pPr>
              <w:keepNext/>
              <w:keepLines/>
              <w:spacing w:after="0" w:line="240" w:lineRule="auto"/>
              <w:jc w:val="right"/>
            </w:pPr>
            <w:r>
              <w:rPr>
                <w:sz w:val="18"/>
              </w:rPr>
              <w:t>518,39</w:t>
            </w:r>
          </w:p>
        </w:tc>
        <w:tc>
          <w:tcPr>
            <w:tcW w:w="700" w:type="dxa"/>
            <w:tcMar>
              <w:top w:w="0" w:type="dxa"/>
              <w:bottom w:w="0" w:type="dxa"/>
            </w:tcMar>
            <w:vAlign w:val="center"/>
          </w:tcPr>
          <w:p w:rsidR="004E7640" w:rsidRDefault="00086EE0">
            <w:pPr>
              <w:keepNext/>
              <w:keepLines/>
              <w:spacing w:after="0" w:line="240" w:lineRule="auto"/>
              <w:jc w:val="right"/>
            </w:pPr>
            <w:r>
              <w:rPr>
                <w:sz w:val="18"/>
              </w:rPr>
              <w:t>166,1</w:t>
            </w:r>
          </w:p>
        </w:tc>
      </w:tr>
    </w:tbl>
    <w:p w:rsidR="004E7640" w:rsidRDefault="004E7640">
      <w:pPr>
        <w:spacing w:after="0"/>
      </w:pPr>
    </w:p>
    <w:p w:rsidR="004E7640" w:rsidRDefault="00086EE0" w:rsidP="006F4401">
      <w:pPr>
        <w:jc w:val="both"/>
      </w:pPr>
      <w:r>
        <w:t>Sukladno potrebama za podešavanjem programskih podrška potrebnih za rad u postojećim aplikacijama, ovi troškovi su se značajno povećali.</w:t>
      </w:r>
    </w:p>
    <w:p w:rsidR="004E7640" w:rsidRDefault="004E7640"/>
    <w:p w:rsidR="004E7640" w:rsidRDefault="00086EE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3239</w:t>
            </w:r>
          </w:p>
        </w:tc>
        <w:tc>
          <w:tcPr>
            <w:tcW w:w="3180" w:type="dxa"/>
            <w:tcMar>
              <w:top w:w="0" w:type="dxa"/>
              <w:bottom w:w="0" w:type="dxa"/>
            </w:tcMar>
            <w:vAlign w:val="center"/>
          </w:tcPr>
          <w:p w:rsidR="004E7640" w:rsidRDefault="00086EE0">
            <w:pPr>
              <w:keepNext/>
              <w:keepLines/>
              <w:spacing w:after="0" w:line="240" w:lineRule="auto"/>
            </w:pPr>
            <w:r>
              <w:rPr>
                <w:sz w:val="18"/>
              </w:rPr>
              <w:t>Ostale usluge</w:t>
            </w:r>
          </w:p>
        </w:tc>
        <w:tc>
          <w:tcPr>
            <w:tcW w:w="700" w:type="dxa"/>
            <w:tcMar>
              <w:top w:w="0" w:type="dxa"/>
              <w:bottom w:w="0" w:type="dxa"/>
            </w:tcMar>
            <w:vAlign w:val="center"/>
          </w:tcPr>
          <w:p w:rsidR="004E7640" w:rsidRDefault="00086EE0">
            <w:pPr>
              <w:keepNext/>
              <w:keepLines/>
              <w:spacing w:after="0" w:line="240" w:lineRule="auto"/>
            </w:pPr>
            <w:r>
              <w:rPr>
                <w:sz w:val="18"/>
              </w:rPr>
              <w:t>3239</w:t>
            </w:r>
          </w:p>
        </w:tc>
        <w:tc>
          <w:tcPr>
            <w:tcW w:w="1860" w:type="dxa"/>
            <w:tcMar>
              <w:top w:w="0" w:type="dxa"/>
              <w:bottom w:w="0" w:type="dxa"/>
            </w:tcMar>
            <w:vAlign w:val="center"/>
          </w:tcPr>
          <w:p w:rsidR="004E7640" w:rsidRDefault="00086EE0">
            <w:pPr>
              <w:keepNext/>
              <w:keepLines/>
              <w:spacing w:after="0" w:line="240" w:lineRule="auto"/>
              <w:jc w:val="right"/>
            </w:pPr>
            <w:r>
              <w:rPr>
                <w:sz w:val="18"/>
              </w:rPr>
              <w:t>642,50</w:t>
            </w:r>
          </w:p>
        </w:tc>
        <w:tc>
          <w:tcPr>
            <w:tcW w:w="1860" w:type="dxa"/>
            <w:tcMar>
              <w:top w:w="0" w:type="dxa"/>
              <w:bottom w:w="0" w:type="dxa"/>
            </w:tcMar>
            <w:vAlign w:val="center"/>
          </w:tcPr>
          <w:p w:rsidR="004E7640" w:rsidRDefault="00086EE0">
            <w:pPr>
              <w:keepNext/>
              <w:keepLines/>
              <w:spacing w:after="0" w:line="240" w:lineRule="auto"/>
              <w:jc w:val="right"/>
            </w:pPr>
            <w:r>
              <w:rPr>
                <w:sz w:val="18"/>
              </w:rPr>
              <w:t>3.335,00</w:t>
            </w:r>
          </w:p>
        </w:tc>
        <w:tc>
          <w:tcPr>
            <w:tcW w:w="700" w:type="dxa"/>
            <w:tcMar>
              <w:top w:w="0" w:type="dxa"/>
              <w:bottom w:w="0" w:type="dxa"/>
            </w:tcMar>
            <w:vAlign w:val="center"/>
          </w:tcPr>
          <w:p w:rsidR="004E7640" w:rsidRDefault="00086EE0">
            <w:pPr>
              <w:keepNext/>
              <w:keepLines/>
              <w:spacing w:after="0" w:line="240" w:lineRule="auto"/>
              <w:jc w:val="right"/>
            </w:pPr>
            <w:r>
              <w:rPr>
                <w:sz w:val="18"/>
              </w:rPr>
              <w:t>519,1</w:t>
            </w:r>
          </w:p>
        </w:tc>
      </w:tr>
    </w:tbl>
    <w:p w:rsidR="004E7640" w:rsidRDefault="004E7640">
      <w:pPr>
        <w:spacing w:after="0"/>
      </w:pPr>
    </w:p>
    <w:p w:rsidR="004E7640" w:rsidRDefault="00086EE0" w:rsidP="006F4401">
      <w:pPr>
        <w:jc w:val="both"/>
      </w:pPr>
      <w:r>
        <w:t>Značajno povećanje ovih usluga odnosi se na usluge iz područja zaštite na radu a najvećim dijelom na energetski pregled i energetsko certificiranje zgrade.</w:t>
      </w:r>
    </w:p>
    <w:p w:rsidR="004E7640" w:rsidRDefault="004E7640"/>
    <w:p w:rsidR="004E7640" w:rsidRDefault="00086EE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3293</w:t>
            </w:r>
          </w:p>
        </w:tc>
        <w:tc>
          <w:tcPr>
            <w:tcW w:w="3180" w:type="dxa"/>
            <w:tcMar>
              <w:top w:w="0" w:type="dxa"/>
              <w:bottom w:w="0" w:type="dxa"/>
            </w:tcMar>
            <w:vAlign w:val="center"/>
          </w:tcPr>
          <w:p w:rsidR="004E7640" w:rsidRDefault="00086EE0">
            <w:pPr>
              <w:keepNext/>
              <w:keepLines/>
              <w:spacing w:after="0" w:line="240" w:lineRule="auto"/>
            </w:pPr>
            <w:r>
              <w:rPr>
                <w:sz w:val="18"/>
              </w:rPr>
              <w:t>Reprezentacija</w:t>
            </w:r>
          </w:p>
        </w:tc>
        <w:tc>
          <w:tcPr>
            <w:tcW w:w="700" w:type="dxa"/>
            <w:tcMar>
              <w:top w:w="0" w:type="dxa"/>
              <w:bottom w:w="0" w:type="dxa"/>
            </w:tcMar>
            <w:vAlign w:val="center"/>
          </w:tcPr>
          <w:p w:rsidR="004E7640" w:rsidRDefault="00086EE0">
            <w:pPr>
              <w:keepNext/>
              <w:keepLines/>
              <w:spacing w:after="0" w:line="240" w:lineRule="auto"/>
            </w:pPr>
            <w:r>
              <w:rPr>
                <w:sz w:val="18"/>
              </w:rPr>
              <w:t>3293</w:t>
            </w:r>
          </w:p>
        </w:tc>
        <w:tc>
          <w:tcPr>
            <w:tcW w:w="1860" w:type="dxa"/>
            <w:tcMar>
              <w:top w:w="0" w:type="dxa"/>
              <w:bottom w:w="0" w:type="dxa"/>
            </w:tcMar>
            <w:vAlign w:val="center"/>
          </w:tcPr>
          <w:p w:rsidR="004E7640" w:rsidRDefault="00086EE0">
            <w:pPr>
              <w:keepNext/>
              <w:keepLines/>
              <w:spacing w:after="0" w:line="240" w:lineRule="auto"/>
              <w:jc w:val="right"/>
            </w:pPr>
            <w:r>
              <w:rPr>
                <w:sz w:val="18"/>
              </w:rPr>
              <w:t>0,00</w:t>
            </w:r>
          </w:p>
        </w:tc>
        <w:tc>
          <w:tcPr>
            <w:tcW w:w="1860" w:type="dxa"/>
            <w:tcMar>
              <w:top w:w="0" w:type="dxa"/>
              <w:bottom w:w="0" w:type="dxa"/>
            </w:tcMar>
            <w:vAlign w:val="center"/>
          </w:tcPr>
          <w:p w:rsidR="004E7640" w:rsidRDefault="00086EE0">
            <w:pPr>
              <w:keepNext/>
              <w:keepLines/>
              <w:spacing w:after="0" w:line="240" w:lineRule="auto"/>
              <w:jc w:val="right"/>
            </w:pPr>
            <w:r>
              <w:rPr>
                <w:sz w:val="18"/>
              </w:rPr>
              <w:t>254,40</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bl>
    <w:p w:rsidR="004E7640" w:rsidRDefault="004E7640">
      <w:pPr>
        <w:spacing w:after="0"/>
      </w:pPr>
    </w:p>
    <w:p w:rsidR="004E7640" w:rsidRDefault="00086EE0" w:rsidP="006F4401">
      <w:pPr>
        <w:jc w:val="both"/>
      </w:pPr>
      <w:r>
        <w:t>U ovom obračunskom razdoblju u školi je održan stručni skup za ravnatelje škola i tu su evidentirani rashodi ug</w:t>
      </w:r>
      <w:r w:rsidR="006F4401">
        <w:t>o</w:t>
      </w:r>
      <w:r>
        <w:t>stiteljske usluge.</w:t>
      </w:r>
    </w:p>
    <w:p w:rsidR="004E7640" w:rsidRDefault="004E7640"/>
    <w:p w:rsidR="004E7640" w:rsidRDefault="00086EE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3294</w:t>
            </w:r>
          </w:p>
        </w:tc>
        <w:tc>
          <w:tcPr>
            <w:tcW w:w="3180" w:type="dxa"/>
            <w:tcMar>
              <w:top w:w="0" w:type="dxa"/>
              <w:bottom w:w="0" w:type="dxa"/>
            </w:tcMar>
            <w:vAlign w:val="center"/>
          </w:tcPr>
          <w:p w:rsidR="004E7640" w:rsidRDefault="00086EE0">
            <w:pPr>
              <w:keepNext/>
              <w:keepLines/>
              <w:spacing w:after="0" w:line="240" w:lineRule="auto"/>
            </w:pPr>
            <w:r>
              <w:rPr>
                <w:sz w:val="18"/>
              </w:rPr>
              <w:t>Članarine i norme</w:t>
            </w:r>
          </w:p>
        </w:tc>
        <w:tc>
          <w:tcPr>
            <w:tcW w:w="700" w:type="dxa"/>
            <w:tcMar>
              <w:top w:w="0" w:type="dxa"/>
              <w:bottom w:w="0" w:type="dxa"/>
            </w:tcMar>
            <w:vAlign w:val="center"/>
          </w:tcPr>
          <w:p w:rsidR="004E7640" w:rsidRDefault="00086EE0">
            <w:pPr>
              <w:keepNext/>
              <w:keepLines/>
              <w:spacing w:after="0" w:line="240" w:lineRule="auto"/>
            </w:pPr>
            <w:r>
              <w:rPr>
                <w:sz w:val="18"/>
              </w:rPr>
              <w:t>3294</w:t>
            </w:r>
          </w:p>
        </w:tc>
        <w:tc>
          <w:tcPr>
            <w:tcW w:w="1860" w:type="dxa"/>
            <w:tcMar>
              <w:top w:w="0" w:type="dxa"/>
              <w:bottom w:w="0" w:type="dxa"/>
            </w:tcMar>
            <w:vAlign w:val="center"/>
          </w:tcPr>
          <w:p w:rsidR="004E7640" w:rsidRDefault="00086EE0">
            <w:pPr>
              <w:keepNext/>
              <w:keepLines/>
              <w:spacing w:after="0" w:line="240" w:lineRule="auto"/>
              <w:jc w:val="right"/>
            </w:pPr>
            <w:r>
              <w:rPr>
                <w:sz w:val="18"/>
              </w:rPr>
              <w:t>55,00</w:t>
            </w:r>
          </w:p>
        </w:tc>
        <w:tc>
          <w:tcPr>
            <w:tcW w:w="1860" w:type="dxa"/>
            <w:tcMar>
              <w:top w:w="0" w:type="dxa"/>
              <w:bottom w:w="0" w:type="dxa"/>
            </w:tcMar>
            <w:vAlign w:val="center"/>
          </w:tcPr>
          <w:p w:rsidR="004E7640" w:rsidRDefault="00086EE0">
            <w:pPr>
              <w:keepNext/>
              <w:keepLines/>
              <w:spacing w:after="0" w:line="240" w:lineRule="auto"/>
              <w:jc w:val="right"/>
            </w:pPr>
            <w:r>
              <w:rPr>
                <w:sz w:val="18"/>
              </w:rPr>
              <w:t>165,00</w:t>
            </w:r>
          </w:p>
        </w:tc>
        <w:tc>
          <w:tcPr>
            <w:tcW w:w="700" w:type="dxa"/>
            <w:tcMar>
              <w:top w:w="0" w:type="dxa"/>
              <w:bottom w:w="0" w:type="dxa"/>
            </w:tcMar>
            <w:vAlign w:val="center"/>
          </w:tcPr>
          <w:p w:rsidR="004E7640" w:rsidRDefault="00086EE0">
            <w:pPr>
              <w:keepNext/>
              <w:keepLines/>
              <w:spacing w:after="0" w:line="240" w:lineRule="auto"/>
              <w:jc w:val="right"/>
            </w:pPr>
            <w:r>
              <w:rPr>
                <w:sz w:val="18"/>
              </w:rPr>
              <w:t>300</w:t>
            </w:r>
          </w:p>
        </w:tc>
      </w:tr>
    </w:tbl>
    <w:p w:rsidR="004E7640" w:rsidRDefault="004E7640">
      <w:pPr>
        <w:spacing w:after="0"/>
      </w:pPr>
    </w:p>
    <w:p w:rsidR="004E7640" w:rsidRDefault="00086EE0" w:rsidP="006F4401">
      <w:pPr>
        <w:jc w:val="both"/>
      </w:pPr>
      <w:r>
        <w:t>Na povećanje ovih rashoda utječe povećanje iznosa tuzemnim članarinama: HUROŠ, Hrvatski savez učeničkog zadrugarstva, Hrvatska zajednica osnovnih škola.</w:t>
      </w:r>
    </w:p>
    <w:p w:rsidR="004E7640" w:rsidRDefault="004E7640"/>
    <w:p w:rsidR="004E7640" w:rsidRDefault="00086EE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3295</w:t>
            </w:r>
          </w:p>
        </w:tc>
        <w:tc>
          <w:tcPr>
            <w:tcW w:w="3180" w:type="dxa"/>
            <w:tcMar>
              <w:top w:w="0" w:type="dxa"/>
              <w:bottom w:w="0" w:type="dxa"/>
            </w:tcMar>
            <w:vAlign w:val="center"/>
          </w:tcPr>
          <w:p w:rsidR="004E7640" w:rsidRDefault="00086EE0">
            <w:pPr>
              <w:keepNext/>
              <w:keepLines/>
              <w:spacing w:after="0" w:line="240" w:lineRule="auto"/>
            </w:pPr>
            <w:r>
              <w:rPr>
                <w:sz w:val="18"/>
              </w:rPr>
              <w:t>Pristojbe i naknade</w:t>
            </w:r>
          </w:p>
        </w:tc>
        <w:tc>
          <w:tcPr>
            <w:tcW w:w="700" w:type="dxa"/>
            <w:tcMar>
              <w:top w:w="0" w:type="dxa"/>
              <w:bottom w:w="0" w:type="dxa"/>
            </w:tcMar>
            <w:vAlign w:val="center"/>
          </w:tcPr>
          <w:p w:rsidR="004E7640" w:rsidRDefault="00086EE0">
            <w:pPr>
              <w:keepNext/>
              <w:keepLines/>
              <w:spacing w:after="0" w:line="240" w:lineRule="auto"/>
            </w:pPr>
            <w:r>
              <w:rPr>
                <w:sz w:val="18"/>
              </w:rPr>
              <w:t>3295</w:t>
            </w:r>
          </w:p>
        </w:tc>
        <w:tc>
          <w:tcPr>
            <w:tcW w:w="1860" w:type="dxa"/>
            <w:tcMar>
              <w:top w:w="0" w:type="dxa"/>
              <w:bottom w:w="0" w:type="dxa"/>
            </w:tcMar>
            <w:vAlign w:val="center"/>
          </w:tcPr>
          <w:p w:rsidR="004E7640" w:rsidRDefault="00086EE0">
            <w:pPr>
              <w:keepNext/>
              <w:keepLines/>
              <w:spacing w:after="0" w:line="240" w:lineRule="auto"/>
              <w:jc w:val="right"/>
            </w:pPr>
            <w:r>
              <w:rPr>
                <w:sz w:val="18"/>
              </w:rPr>
              <w:t>1.660,09</w:t>
            </w:r>
          </w:p>
        </w:tc>
        <w:tc>
          <w:tcPr>
            <w:tcW w:w="1860" w:type="dxa"/>
            <w:tcMar>
              <w:top w:w="0" w:type="dxa"/>
              <w:bottom w:w="0" w:type="dxa"/>
            </w:tcMar>
            <w:vAlign w:val="center"/>
          </w:tcPr>
          <w:p w:rsidR="004E7640" w:rsidRDefault="00086EE0">
            <w:pPr>
              <w:keepNext/>
              <w:keepLines/>
              <w:spacing w:after="0" w:line="240" w:lineRule="auto"/>
              <w:jc w:val="right"/>
            </w:pPr>
            <w:r>
              <w:rPr>
                <w:sz w:val="18"/>
              </w:rPr>
              <w:t>2.520,00</w:t>
            </w:r>
          </w:p>
        </w:tc>
        <w:tc>
          <w:tcPr>
            <w:tcW w:w="700" w:type="dxa"/>
            <w:tcMar>
              <w:top w:w="0" w:type="dxa"/>
              <w:bottom w:w="0" w:type="dxa"/>
            </w:tcMar>
            <w:vAlign w:val="center"/>
          </w:tcPr>
          <w:p w:rsidR="004E7640" w:rsidRDefault="00086EE0">
            <w:pPr>
              <w:keepNext/>
              <w:keepLines/>
              <w:spacing w:after="0" w:line="240" w:lineRule="auto"/>
              <w:jc w:val="right"/>
            </w:pPr>
            <w:r>
              <w:rPr>
                <w:sz w:val="18"/>
              </w:rPr>
              <w:t>151,8</w:t>
            </w:r>
          </w:p>
        </w:tc>
      </w:tr>
    </w:tbl>
    <w:p w:rsidR="004E7640" w:rsidRDefault="004E7640">
      <w:pPr>
        <w:spacing w:after="0"/>
      </w:pPr>
    </w:p>
    <w:p w:rsidR="004E7640" w:rsidRDefault="00086EE0" w:rsidP="006F4401">
      <w:pPr>
        <w:jc w:val="both"/>
      </w:pPr>
      <w:r>
        <w:t>Škola je obvezna s obzirom na broj zaposlenih plaćati 2 naknade zbog nezapošljavanja osoba s invaliditetom čiji je iznos povećan za 2026. godinu. Obveza je usklađena s potraživanja u aplikaciji NERA ZOSI.</w:t>
      </w:r>
    </w:p>
    <w:p w:rsidR="004E7640" w:rsidRDefault="004E7640"/>
    <w:p w:rsidR="004E7640" w:rsidRDefault="00086EE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3299</w:t>
            </w:r>
          </w:p>
        </w:tc>
        <w:tc>
          <w:tcPr>
            <w:tcW w:w="3180" w:type="dxa"/>
            <w:tcMar>
              <w:top w:w="0" w:type="dxa"/>
              <w:bottom w:w="0" w:type="dxa"/>
            </w:tcMar>
            <w:vAlign w:val="center"/>
          </w:tcPr>
          <w:p w:rsidR="004E7640" w:rsidRDefault="00086EE0">
            <w:pPr>
              <w:keepNext/>
              <w:keepLines/>
              <w:spacing w:after="0" w:line="240" w:lineRule="auto"/>
            </w:pPr>
            <w:r>
              <w:rPr>
                <w:sz w:val="18"/>
              </w:rPr>
              <w:t>Ostali nespomenuti rashodi poslovanja</w:t>
            </w:r>
          </w:p>
        </w:tc>
        <w:tc>
          <w:tcPr>
            <w:tcW w:w="700" w:type="dxa"/>
            <w:tcMar>
              <w:top w:w="0" w:type="dxa"/>
              <w:bottom w:w="0" w:type="dxa"/>
            </w:tcMar>
            <w:vAlign w:val="center"/>
          </w:tcPr>
          <w:p w:rsidR="004E7640" w:rsidRDefault="00086EE0">
            <w:pPr>
              <w:keepNext/>
              <w:keepLines/>
              <w:spacing w:after="0" w:line="240" w:lineRule="auto"/>
            </w:pPr>
            <w:r>
              <w:rPr>
                <w:sz w:val="18"/>
              </w:rPr>
              <w:t>3299</w:t>
            </w:r>
          </w:p>
        </w:tc>
        <w:tc>
          <w:tcPr>
            <w:tcW w:w="1860" w:type="dxa"/>
            <w:tcMar>
              <w:top w:w="0" w:type="dxa"/>
              <w:bottom w:w="0" w:type="dxa"/>
            </w:tcMar>
            <w:vAlign w:val="center"/>
          </w:tcPr>
          <w:p w:rsidR="004E7640" w:rsidRDefault="00086EE0">
            <w:pPr>
              <w:keepNext/>
              <w:keepLines/>
              <w:spacing w:after="0" w:line="240" w:lineRule="auto"/>
              <w:jc w:val="right"/>
            </w:pPr>
            <w:r>
              <w:rPr>
                <w:sz w:val="18"/>
              </w:rPr>
              <w:t>224,02</w:t>
            </w:r>
          </w:p>
        </w:tc>
        <w:tc>
          <w:tcPr>
            <w:tcW w:w="1860" w:type="dxa"/>
            <w:tcMar>
              <w:top w:w="0" w:type="dxa"/>
              <w:bottom w:w="0" w:type="dxa"/>
            </w:tcMar>
            <w:vAlign w:val="center"/>
          </w:tcPr>
          <w:p w:rsidR="004E7640" w:rsidRDefault="00086EE0">
            <w:pPr>
              <w:keepNext/>
              <w:keepLines/>
              <w:spacing w:after="0" w:line="240" w:lineRule="auto"/>
              <w:jc w:val="right"/>
            </w:pPr>
            <w:r>
              <w:rPr>
                <w:sz w:val="18"/>
              </w:rPr>
              <w:t>159,40</w:t>
            </w:r>
          </w:p>
        </w:tc>
        <w:tc>
          <w:tcPr>
            <w:tcW w:w="700" w:type="dxa"/>
            <w:tcMar>
              <w:top w:w="0" w:type="dxa"/>
              <w:bottom w:w="0" w:type="dxa"/>
            </w:tcMar>
            <w:vAlign w:val="center"/>
          </w:tcPr>
          <w:p w:rsidR="004E7640" w:rsidRDefault="00086EE0">
            <w:pPr>
              <w:keepNext/>
              <w:keepLines/>
              <w:spacing w:after="0" w:line="240" w:lineRule="auto"/>
              <w:jc w:val="right"/>
            </w:pPr>
            <w:r>
              <w:rPr>
                <w:sz w:val="18"/>
              </w:rPr>
              <w:t>71,2</w:t>
            </w:r>
          </w:p>
        </w:tc>
      </w:tr>
    </w:tbl>
    <w:p w:rsidR="004E7640" w:rsidRDefault="004E7640">
      <w:pPr>
        <w:spacing w:after="0"/>
      </w:pPr>
    </w:p>
    <w:p w:rsidR="004E7640" w:rsidRDefault="00086EE0" w:rsidP="006F4401">
      <w:pPr>
        <w:jc w:val="both"/>
      </w:pPr>
      <w:r>
        <w:t>Evidentirani su ra</w:t>
      </w:r>
      <w:r w:rsidR="006F4401">
        <w:t>s</w:t>
      </w:r>
      <w:r>
        <w:t>hodi nabave knjiga za poklon učenicima 8. razreda za školski uspjeh.</w:t>
      </w:r>
    </w:p>
    <w:p w:rsidR="004E7640" w:rsidRDefault="004E7640"/>
    <w:p w:rsidR="004E7640" w:rsidRDefault="00086EE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3722</w:t>
            </w:r>
          </w:p>
        </w:tc>
        <w:tc>
          <w:tcPr>
            <w:tcW w:w="3180" w:type="dxa"/>
            <w:tcMar>
              <w:top w:w="0" w:type="dxa"/>
              <w:bottom w:w="0" w:type="dxa"/>
            </w:tcMar>
            <w:vAlign w:val="center"/>
          </w:tcPr>
          <w:p w:rsidR="004E7640" w:rsidRDefault="00086EE0">
            <w:pPr>
              <w:keepNext/>
              <w:keepLines/>
              <w:spacing w:after="0" w:line="240" w:lineRule="auto"/>
            </w:pPr>
            <w:r>
              <w:rPr>
                <w:sz w:val="18"/>
              </w:rPr>
              <w:t>Naknade građanima i kućanstvima u naravi</w:t>
            </w:r>
          </w:p>
        </w:tc>
        <w:tc>
          <w:tcPr>
            <w:tcW w:w="700" w:type="dxa"/>
            <w:tcMar>
              <w:top w:w="0" w:type="dxa"/>
              <w:bottom w:w="0" w:type="dxa"/>
            </w:tcMar>
            <w:vAlign w:val="center"/>
          </w:tcPr>
          <w:p w:rsidR="004E7640" w:rsidRDefault="00086EE0">
            <w:pPr>
              <w:keepNext/>
              <w:keepLines/>
              <w:spacing w:after="0" w:line="240" w:lineRule="auto"/>
            </w:pPr>
            <w:r>
              <w:rPr>
                <w:sz w:val="18"/>
              </w:rPr>
              <w:t>3722</w:t>
            </w:r>
          </w:p>
        </w:tc>
        <w:tc>
          <w:tcPr>
            <w:tcW w:w="1860" w:type="dxa"/>
            <w:tcMar>
              <w:top w:w="0" w:type="dxa"/>
              <w:bottom w:w="0" w:type="dxa"/>
            </w:tcMar>
            <w:vAlign w:val="center"/>
          </w:tcPr>
          <w:p w:rsidR="004E7640" w:rsidRDefault="00086EE0">
            <w:pPr>
              <w:keepNext/>
              <w:keepLines/>
              <w:spacing w:after="0" w:line="240" w:lineRule="auto"/>
              <w:jc w:val="right"/>
            </w:pPr>
            <w:r>
              <w:rPr>
                <w:sz w:val="18"/>
              </w:rPr>
              <w:t>147,20</w:t>
            </w:r>
          </w:p>
        </w:tc>
        <w:tc>
          <w:tcPr>
            <w:tcW w:w="1860" w:type="dxa"/>
            <w:tcMar>
              <w:top w:w="0" w:type="dxa"/>
              <w:bottom w:w="0" w:type="dxa"/>
            </w:tcMar>
            <w:vAlign w:val="center"/>
          </w:tcPr>
          <w:p w:rsidR="004E7640" w:rsidRDefault="00086EE0">
            <w:pPr>
              <w:keepNext/>
              <w:keepLines/>
              <w:spacing w:after="0" w:line="240" w:lineRule="auto"/>
              <w:jc w:val="right"/>
            </w:pPr>
            <w:r>
              <w:rPr>
                <w:sz w:val="18"/>
              </w:rPr>
              <w:t>179,20</w:t>
            </w:r>
          </w:p>
        </w:tc>
        <w:tc>
          <w:tcPr>
            <w:tcW w:w="700" w:type="dxa"/>
            <w:tcMar>
              <w:top w:w="0" w:type="dxa"/>
              <w:bottom w:w="0" w:type="dxa"/>
            </w:tcMar>
            <w:vAlign w:val="center"/>
          </w:tcPr>
          <w:p w:rsidR="004E7640" w:rsidRDefault="00086EE0">
            <w:pPr>
              <w:keepNext/>
              <w:keepLines/>
              <w:spacing w:after="0" w:line="240" w:lineRule="auto"/>
              <w:jc w:val="right"/>
            </w:pPr>
            <w:r>
              <w:rPr>
                <w:sz w:val="18"/>
              </w:rPr>
              <w:t>121,7</w:t>
            </w:r>
          </w:p>
        </w:tc>
      </w:tr>
    </w:tbl>
    <w:p w:rsidR="004E7640" w:rsidRDefault="004E7640">
      <w:pPr>
        <w:spacing w:after="0"/>
      </w:pPr>
    </w:p>
    <w:p w:rsidR="004E7640" w:rsidRDefault="00086EE0">
      <w:r>
        <w:t>Sufinanciranje prijevoza učeniku s poteškoćama sukladno Odluci MZOM-a.</w:t>
      </w:r>
    </w:p>
    <w:p w:rsidR="004E7640" w:rsidRDefault="004E7640"/>
    <w:p w:rsidR="004E7640" w:rsidRDefault="00086EE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3812</w:t>
            </w:r>
          </w:p>
        </w:tc>
        <w:tc>
          <w:tcPr>
            <w:tcW w:w="3180" w:type="dxa"/>
            <w:tcMar>
              <w:top w:w="0" w:type="dxa"/>
              <w:bottom w:w="0" w:type="dxa"/>
            </w:tcMar>
            <w:vAlign w:val="center"/>
          </w:tcPr>
          <w:p w:rsidR="004E7640" w:rsidRDefault="00086EE0">
            <w:pPr>
              <w:keepNext/>
              <w:keepLines/>
              <w:spacing w:after="0" w:line="240" w:lineRule="auto"/>
            </w:pPr>
            <w:r>
              <w:rPr>
                <w:sz w:val="18"/>
              </w:rPr>
              <w:t>Tekuće donacije u naravi</w:t>
            </w:r>
          </w:p>
        </w:tc>
        <w:tc>
          <w:tcPr>
            <w:tcW w:w="700" w:type="dxa"/>
            <w:tcMar>
              <w:top w:w="0" w:type="dxa"/>
              <w:bottom w:w="0" w:type="dxa"/>
            </w:tcMar>
            <w:vAlign w:val="center"/>
          </w:tcPr>
          <w:p w:rsidR="004E7640" w:rsidRDefault="00086EE0">
            <w:pPr>
              <w:keepNext/>
              <w:keepLines/>
              <w:spacing w:after="0" w:line="240" w:lineRule="auto"/>
            </w:pPr>
            <w:r>
              <w:rPr>
                <w:sz w:val="18"/>
              </w:rPr>
              <w:t>3812</w:t>
            </w:r>
          </w:p>
        </w:tc>
        <w:tc>
          <w:tcPr>
            <w:tcW w:w="1860" w:type="dxa"/>
            <w:tcMar>
              <w:top w:w="0" w:type="dxa"/>
              <w:bottom w:w="0" w:type="dxa"/>
            </w:tcMar>
            <w:vAlign w:val="center"/>
          </w:tcPr>
          <w:p w:rsidR="004E7640" w:rsidRDefault="00086EE0">
            <w:pPr>
              <w:keepNext/>
              <w:keepLines/>
              <w:spacing w:after="0" w:line="240" w:lineRule="auto"/>
              <w:jc w:val="right"/>
            </w:pPr>
            <w:r>
              <w:rPr>
                <w:sz w:val="18"/>
              </w:rPr>
              <w:t>500,00</w:t>
            </w:r>
          </w:p>
        </w:tc>
        <w:tc>
          <w:tcPr>
            <w:tcW w:w="1860" w:type="dxa"/>
            <w:tcMar>
              <w:top w:w="0" w:type="dxa"/>
              <w:bottom w:w="0" w:type="dxa"/>
            </w:tcMar>
            <w:vAlign w:val="center"/>
          </w:tcPr>
          <w:p w:rsidR="004E7640" w:rsidRDefault="00086EE0">
            <w:pPr>
              <w:keepNext/>
              <w:keepLines/>
              <w:spacing w:after="0" w:line="240" w:lineRule="auto"/>
              <w:jc w:val="right"/>
            </w:pPr>
            <w:r>
              <w:rPr>
                <w:sz w:val="18"/>
              </w:rPr>
              <w:t>450,00</w:t>
            </w:r>
          </w:p>
        </w:tc>
        <w:tc>
          <w:tcPr>
            <w:tcW w:w="700" w:type="dxa"/>
            <w:tcMar>
              <w:top w:w="0" w:type="dxa"/>
              <w:bottom w:w="0" w:type="dxa"/>
            </w:tcMar>
            <w:vAlign w:val="center"/>
          </w:tcPr>
          <w:p w:rsidR="004E7640" w:rsidRDefault="00086EE0">
            <w:pPr>
              <w:keepNext/>
              <w:keepLines/>
              <w:spacing w:after="0" w:line="240" w:lineRule="auto"/>
              <w:jc w:val="right"/>
            </w:pPr>
            <w:r>
              <w:rPr>
                <w:sz w:val="18"/>
              </w:rPr>
              <w:t>90,0</w:t>
            </w:r>
          </w:p>
        </w:tc>
      </w:tr>
    </w:tbl>
    <w:p w:rsidR="004E7640" w:rsidRDefault="004E7640">
      <w:pPr>
        <w:spacing w:after="0"/>
      </w:pPr>
    </w:p>
    <w:p w:rsidR="004E7640" w:rsidRDefault="00086EE0" w:rsidP="006F4401">
      <w:pPr>
        <w:jc w:val="both"/>
      </w:pPr>
      <w:r>
        <w:t xml:space="preserve">Evidentirani su rashodi nabave </w:t>
      </w:r>
      <w:r w:rsidR="006F4401">
        <w:t>h</w:t>
      </w:r>
      <w:r>
        <w:t>igijenski</w:t>
      </w:r>
      <w:r w:rsidR="006F4401">
        <w:t>h</w:t>
      </w:r>
      <w:r>
        <w:t>, menstrualnih potrepština za 2026. godinu sukladno Zaključku Osnivača i odobrenim sredstvima za tu namjenu.</w:t>
      </w:r>
    </w:p>
    <w:p w:rsidR="004E7640" w:rsidRDefault="004E7640"/>
    <w:p w:rsidR="004E7640" w:rsidRDefault="00086EE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92221</w:t>
            </w:r>
          </w:p>
        </w:tc>
        <w:tc>
          <w:tcPr>
            <w:tcW w:w="3180" w:type="dxa"/>
            <w:tcMar>
              <w:top w:w="0" w:type="dxa"/>
              <w:bottom w:w="0" w:type="dxa"/>
            </w:tcMar>
            <w:vAlign w:val="center"/>
          </w:tcPr>
          <w:p w:rsidR="004E7640" w:rsidRDefault="00086EE0">
            <w:pPr>
              <w:keepNext/>
              <w:keepLines/>
              <w:spacing w:after="0" w:line="240" w:lineRule="auto"/>
            </w:pPr>
            <w:r>
              <w:rPr>
                <w:sz w:val="18"/>
              </w:rPr>
              <w:t>Manjak prihoda poslovanja - preneseni</w:t>
            </w:r>
          </w:p>
        </w:tc>
        <w:tc>
          <w:tcPr>
            <w:tcW w:w="700" w:type="dxa"/>
            <w:tcMar>
              <w:top w:w="0" w:type="dxa"/>
              <w:bottom w:w="0" w:type="dxa"/>
            </w:tcMar>
            <w:vAlign w:val="center"/>
          </w:tcPr>
          <w:p w:rsidR="004E7640" w:rsidRDefault="00086EE0">
            <w:pPr>
              <w:keepNext/>
              <w:keepLines/>
              <w:spacing w:after="0" w:line="240" w:lineRule="auto"/>
            </w:pPr>
            <w:r>
              <w:rPr>
                <w:sz w:val="18"/>
              </w:rPr>
              <w:t>92221</w:t>
            </w:r>
          </w:p>
        </w:tc>
        <w:tc>
          <w:tcPr>
            <w:tcW w:w="1860" w:type="dxa"/>
            <w:tcMar>
              <w:top w:w="0" w:type="dxa"/>
              <w:bottom w:w="0" w:type="dxa"/>
            </w:tcMar>
            <w:vAlign w:val="center"/>
          </w:tcPr>
          <w:p w:rsidR="004E7640" w:rsidRDefault="00086EE0">
            <w:pPr>
              <w:keepNext/>
              <w:keepLines/>
              <w:spacing w:after="0" w:line="240" w:lineRule="auto"/>
              <w:jc w:val="right"/>
            </w:pPr>
            <w:r>
              <w:rPr>
                <w:sz w:val="18"/>
              </w:rPr>
              <w:t>3.699,70</w:t>
            </w:r>
          </w:p>
        </w:tc>
        <w:tc>
          <w:tcPr>
            <w:tcW w:w="1860" w:type="dxa"/>
            <w:tcMar>
              <w:top w:w="0" w:type="dxa"/>
              <w:bottom w:w="0" w:type="dxa"/>
            </w:tcMar>
            <w:vAlign w:val="center"/>
          </w:tcPr>
          <w:p w:rsidR="004E7640" w:rsidRDefault="00086EE0">
            <w:pPr>
              <w:keepNext/>
              <w:keepLines/>
              <w:spacing w:after="0" w:line="240" w:lineRule="auto"/>
              <w:jc w:val="right"/>
            </w:pPr>
            <w:r>
              <w:rPr>
                <w:sz w:val="18"/>
              </w:rPr>
              <w:t>131.135,34</w:t>
            </w:r>
          </w:p>
        </w:tc>
        <w:tc>
          <w:tcPr>
            <w:tcW w:w="700" w:type="dxa"/>
            <w:tcMar>
              <w:top w:w="0" w:type="dxa"/>
              <w:bottom w:w="0" w:type="dxa"/>
            </w:tcMar>
            <w:vAlign w:val="center"/>
          </w:tcPr>
          <w:p w:rsidR="004E7640" w:rsidRDefault="00086EE0">
            <w:pPr>
              <w:keepNext/>
              <w:keepLines/>
              <w:spacing w:after="0" w:line="240" w:lineRule="auto"/>
              <w:jc w:val="right"/>
            </w:pPr>
            <w:r>
              <w:rPr>
                <w:sz w:val="18"/>
              </w:rPr>
              <w:t>3544,5</w:t>
            </w:r>
          </w:p>
        </w:tc>
      </w:tr>
    </w:tbl>
    <w:p w:rsidR="004E7640" w:rsidRDefault="004E7640">
      <w:pPr>
        <w:spacing w:after="0"/>
      </w:pPr>
    </w:p>
    <w:p w:rsidR="004E7640" w:rsidRDefault="00086EE0" w:rsidP="006F4401">
      <w:pPr>
        <w:jc w:val="both"/>
      </w:pPr>
      <w:r>
        <w:t>U ovom izvještajnom razdoblju došlo je do korekcije rezultata poslovanja, odnosno prenesenog manjka prihoda iz 2025. godine. Preneseni manjak prihoda s kraja 2025. godine iznosio je 129.724,16 EUR. Nakon usklađenja prihoda i rashoda za besplatni topli obrok za drugo polugodište šk. god 2025/2026 škola je obvezna vratiti u proračun neutrošene prihode doznačene iz državnog proračuna za tu namjenu. Slijedom toga smanjen je višak prihoda poslovanja 2025. godine iz izvora Pomoći iz državnog proračuna za iznos 1.411,18 EUR. Manjak prihoda poslovanja po tome iznosi 129.724,16 EUR + 1.411,18 EUR= 131.135,34 EUR.</w:t>
      </w:r>
    </w:p>
    <w:p w:rsidR="004E7640" w:rsidRDefault="004E7640"/>
    <w:p w:rsidR="004E7640" w:rsidRDefault="00086EE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96</w:t>
            </w:r>
          </w:p>
        </w:tc>
        <w:tc>
          <w:tcPr>
            <w:tcW w:w="3180" w:type="dxa"/>
            <w:tcMar>
              <w:top w:w="0" w:type="dxa"/>
              <w:bottom w:w="0" w:type="dxa"/>
            </w:tcMar>
            <w:vAlign w:val="center"/>
          </w:tcPr>
          <w:p w:rsidR="004E7640" w:rsidRDefault="00086EE0">
            <w:pPr>
              <w:keepNext/>
              <w:keepLines/>
              <w:spacing w:after="0" w:line="240" w:lineRule="auto"/>
            </w:pPr>
            <w:r>
              <w:rPr>
                <w:sz w:val="18"/>
              </w:rPr>
              <w:t>Obračunati prihodi poslovanja - nenaplaćeni</w:t>
            </w:r>
          </w:p>
        </w:tc>
        <w:tc>
          <w:tcPr>
            <w:tcW w:w="700" w:type="dxa"/>
            <w:tcMar>
              <w:top w:w="0" w:type="dxa"/>
              <w:bottom w:w="0" w:type="dxa"/>
            </w:tcMar>
            <w:vAlign w:val="center"/>
          </w:tcPr>
          <w:p w:rsidR="004E7640" w:rsidRDefault="00086EE0">
            <w:pPr>
              <w:keepNext/>
              <w:keepLines/>
              <w:spacing w:after="0" w:line="240" w:lineRule="auto"/>
            </w:pPr>
            <w:r>
              <w:rPr>
                <w:sz w:val="18"/>
              </w:rPr>
              <w:t>96</w:t>
            </w:r>
          </w:p>
        </w:tc>
        <w:tc>
          <w:tcPr>
            <w:tcW w:w="1860" w:type="dxa"/>
            <w:tcMar>
              <w:top w:w="0" w:type="dxa"/>
              <w:bottom w:w="0" w:type="dxa"/>
            </w:tcMar>
            <w:vAlign w:val="center"/>
          </w:tcPr>
          <w:p w:rsidR="004E7640" w:rsidRDefault="00086EE0">
            <w:pPr>
              <w:keepNext/>
              <w:keepLines/>
              <w:spacing w:after="0" w:line="240" w:lineRule="auto"/>
              <w:jc w:val="right"/>
            </w:pPr>
            <w:r>
              <w:rPr>
                <w:sz w:val="18"/>
              </w:rPr>
              <w:t>96.442,38</w:t>
            </w:r>
          </w:p>
        </w:tc>
        <w:tc>
          <w:tcPr>
            <w:tcW w:w="1860" w:type="dxa"/>
            <w:tcMar>
              <w:top w:w="0" w:type="dxa"/>
              <w:bottom w:w="0" w:type="dxa"/>
            </w:tcMar>
            <w:vAlign w:val="center"/>
          </w:tcPr>
          <w:p w:rsidR="004E7640" w:rsidRDefault="00086EE0">
            <w:pPr>
              <w:keepNext/>
              <w:keepLines/>
              <w:spacing w:after="0" w:line="240" w:lineRule="auto"/>
              <w:jc w:val="right"/>
            </w:pPr>
            <w:r>
              <w:rPr>
                <w:sz w:val="18"/>
              </w:rPr>
              <w:t>103.001,92</w:t>
            </w:r>
          </w:p>
        </w:tc>
        <w:tc>
          <w:tcPr>
            <w:tcW w:w="700" w:type="dxa"/>
            <w:tcMar>
              <w:top w:w="0" w:type="dxa"/>
              <w:bottom w:w="0" w:type="dxa"/>
            </w:tcMar>
            <w:vAlign w:val="center"/>
          </w:tcPr>
          <w:p w:rsidR="004E7640" w:rsidRDefault="00086EE0">
            <w:pPr>
              <w:keepNext/>
              <w:keepLines/>
              <w:spacing w:after="0" w:line="240" w:lineRule="auto"/>
              <w:jc w:val="right"/>
            </w:pPr>
            <w:r>
              <w:rPr>
                <w:sz w:val="18"/>
              </w:rPr>
              <w:t>106,8</w:t>
            </w:r>
          </w:p>
        </w:tc>
      </w:tr>
    </w:tbl>
    <w:p w:rsidR="004E7640" w:rsidRDefault="004E7640">
      <w:pPr>
        <w:spacing w:after="0"/>
      </w:pPr>
    </w:p>
    <w:p w:rsidR="004E7640" w:rsidRDefault="00086EE0" w:rsidP="006F4401">
      <w:pPr>
        <w:jc w:val="both"/>
      </w:pPr>
      <w:r>
        <w:t>Obračunati prihodi poslovanja-nenaplaćeni sadrže obračunate pomoći proračunskim korisnicima iz proračuna koji im nije nadležan, odnosno potraživanja prema MZOM-u za plaću 6/2026, naknadu zbog nezapošljavanja osoba s invaliditetom 6/2026, TUR za 5/2026 i 6/2026, mentorstvo iz prethodnih godina i nenaplaćena potraživanja po izdanim računima za zakup dvorane i ručak za učenike.</w:t>
      </w:r>
    </w:p>
    <w:p w:rsidR="004E7640" w:rsidRDefault="004E7640"/>
    <w:p w:rsidR="004E7640" w:rsidRDefault="00086EE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9661</w:t>
            </w:r>
          </w:p>
        </w:tc>
        <w:tc>
          <w:tcPr>
            <w:tcW w:w="3180" w:type="dxa"/>
            <w:tcMar>
              <w:top w:w="0" w:type="dxa"/>
              <w:bottom w:w="0" w:type="dxa"/>
            </w:tcMar>
            <w:vAlign w:val="center"/>
          </w:tcPr>
          <w:p w:rsidR="004E7640" w:rsidRDefault="00086EE0">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4E7640" w:rsidRDefault="00086EE0">
            <w:pPr>
              <w:keepNext/>
              <w:keepLines/>
              <w:spacing w:after="0" w:line="240" w:lineRule="auto"/>
            </w:pPr>
            <w:r>
              <w:rPr>
                <w:sz w:val="18"/>
              </w:rPr>
              <w:t>9661</w:t>
            </w:r>
          </w:p>
        </w:tc>
        <w:tc>
          <w:tcPr>
            <w:tcW w:w="1860" w:type="dxa"/>
            <w:tcMar>
              <w:top w:w="0" w:type="dxa"/>
              <w:bottom w:w="0" w:type="dxa"/>
            </w:tcMar>
            <w:vAlign w:val="center"/>
          </w:tcPr>
          <w:p w:rsidR="004E7640" w:rsidRDefault="00086EE0">
            <w:pPr>
              <w:keepNext/>
              <w:keepLines/>
              <w:spacing w:after="0" w:line="240" w:lineRule="auto"/>
              <w:jc w:val="right"/>
            </w:pPr>
            <w:r>
              <w:rPr>
                <w:sz w:val="18"/>
              </w:rPr>
              <w:t>262,18</w:t>
            </w:r>
          </w:p>
        </w:tc>
        <w:tc>
          <w:tcPr>
            <w:tcW w:w="1860" w:type="dxa"/>
            <w:tcMar>
              <w:top w:w="0" w:type="dxa"/>
              <w:bottom w:w="0" w:type="dxa"/>
            </w:tcMar>
            <w:vAlign w:val="center"/>
          </w:tcPr>
          <w:p w:rsidR="004E7640" w:rsidRDefault="00086EE0">
            <w:pPr>
              <w:keepNext/>
              <w:keepLines/>
              <w:spacing w:after="0" w:line="240" w:lineRule="auto"/>
              <w:jc w:val="right"/>
            </w:pPr>
            <w:r>
              <w:rPr>
                <w:sz w:val="18"/>
              </w:rPr>
              <w:t>47,31</w:t>
            </w:r>
          </w:p>
        </w:tc>
        <w:tc>
          <w:tcPr>
            <w:tcW w:w="700" w:type="dxa"/>
            <w:tcMar>
              <w:top w:w="0" w:type="dxa"/>
              <w:bottom w:w="0" w:type="dxa"/>
            </w:tcMar>
            <w:vAlign w:val="center"/>
          </w:tcPr>
          <w:p w:rsidR="004E7640" w:rsidRDefault="00086EE0">
            <w:pPr>
              <w:keepNext/>
              <w:keepLines/>
              <w:spacing w:after="0" w:line="240" w:lineRule="auto"/>
              <w:jc w:val="right"/>
            </w:pPr>
            <w:r>
              <w:rPr>
                <w:sz w:val="18"/>
              </w:rPr>
              <w:t>18,0</w:t>
            </w:r>
          </w:p>
        </w:tc>
      </w:tr>
    </w:tbl>
    <w:p w:rsidR="004E7640" w:rsidRDefault="004E7640">
      <w:pPr>
        <w:spacing w:after="0"/>
      </w:pPr>
    </w:p>
    <w:p w:rsidR="004E7640" w:rsidRDefault="00086EE0" w:rsidP="006F4401">
      <w:pPr>
        <w:jc w:val="both"/>
      </w:pPr>
      <w:r>
        <w:t>Evidentirana su potraživanja, nenaplaćena potraživanja po izdanim računima za zakup školske dvorane. Značajno je bolja naplata ovih prihoda od strane sportskih klubova pa su zbog toga puno manja potraživanja u odnosu na isto razdoblje prethodne godine.</w:t>
      </w:r>
    </w:p>
    <w:p w:rsidR="004E7640" w:rsidRDefault="004E7640" w:rsidP="006F4401">
      <w:pPr>
        <w:jc w:val="both"/>
      </w:pPr>
    </w:p>
    <w:p w:rsidR="004E7640" w:rsidRDefault="00086EE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4221</w:t>
            </w:r>
          </w:p>
        </w:tc>
        <w:tc>
          <w:tcPr>
            <w:tcW w:w="3180" w:type="dxa"/>
            <w:tcMar>
              <w:top w:w="0" w:type="dxa"/>
              <w:bottom w:w="0" w:type="dxa"/>
            </w:tcMar>
            <w:vAlign w:val="center"/>
          </w:tcPr>
          <w:p w:rsidR="004E7640" w:rsidRDefault="00086EE0">
            <w:pPr>
              <w:keepNext/>
              <w:keepLines/>
              <w:spacing w:after="0" w:line="240" w:lineRule="auto"/>
            </w:pPr>
            <w:r>
              <w:rPr>
                <w:sz w:val="18"/>
              </w:rPr>
              <w:t>Uredska oprema i namještaj</w:t>
            </w:r>
          </w:p>
        </w:tc>
        <w:tc>
          <w:tcPr>
            <w:tcW w:w="700" w:type="dxa"/>
            <w:tcMar>
              <w:top w:w="0" w:type="dxa"/>
              <w:bottom w:w="0" w:type="dxa"/>
            </w:tcMar>
            <w:vAlign w:val="center"/>
          </w:tcPr>
          <w:p w:rsidR="004E7640" w:rsidRDefault="00086EE0">
            <w:pPr>
              <w:keepNext/>
              <w:keepLines/>
              <w:spacing w:after="0" w:line="240" w:lineRule="auto"/>
            </w:pPr>
            <w:r>
              <w:rPr>
                <w:sz w:val="18"/>
              </w:rPr>
              <w:t>4221</w:t>
            </w:r>
          </w:p>
        </w:tc>
        <w:tc>
          <w:tcPr>
            <w:tcW w:w="1860" w:type="dxa"/>
            <w:tcMar>
              <w:top w:w="0" w:type="dxa"/>
              <w:bottom w:w="0" w:type="dxa"/>
            </w:tcMar>
            <w:vAlign w:val="center"/>
          </w:tcPr>
          <w:p w:rsidR="004E7640" w:rsidRDefault="00086EE0">
            <w:pPr>
              <w:keepNext/>
              <w:keepLines/>
              <w:spacing w:after="0" w:line="240" w:lineRule="auto"/>
              <w:jc w:val="right"/>
            </w:pPr>
            <w:r>
              <w:rPr>
                <w:sz w:val="18"/>
              </w:rPr>
              <w:t>8.487,50</w:t>
            </w:r>
          </w:p>
        </w:tc>
        <w:tc>
          <w:tcPr>
            <w:tcW w:w="1860" w:type="dxa"/>
            <w:tcMar>
              <w:top w:w="0" w:type="dxa"/>
              <w:bottom w:w="0" w:type="dxa"/>
            </w:tcMar>
            <w:vAlign w:val="center"/>
          </w:tcPr>
          <w:p w:rsidR="004E7640" w:rsidRDefault="00086EE0">
            <w:pPr>
              <w:keepNext/>
              <w:keepLines/>
              <w:spacing w:after="0" w:line="240" w:lineRule="auto"/>
              <w:jc w:val="right"/>
            </w:pPr>
            <w:r>
              <w:rPr>
                <w:sz w:val="18"/>
              </w:rPr>
              <w:t>10.000,00</w:t>
            </w:r>
          </w:p>
        </w:tc>
        <w:tc>
          <w:tcPr>
            <w:tcW w:w="700" w:type="dxa"/>
            <w:tcMar>
              <w:top w:w="0" w:type="dxa"/>
              <w:bottom w:w="0" w:type="dxa"/>
            </w:tcMar>
            <w:vAlign w:val="center"/>
          </w:tcPr>
          <w:p w:rsidR="004E7640" w:rsidRDefault="00086EE0">
            <w:pPr>
              <w:keepNext/>
              <w:keepLines/>
              <w:spacing w:after="0" w:line="240" w:lineRule="auto"/>
              <w:jc w:val="right"/>
            </w:pPr>
            <w:r>
              <w:rPr>
                <w:sz w:val="18"/>
              </w:rPr>
              <w:t>117,8</w:t>
            </w:r>
          </w:p>
        </w:tc>
      </w:tr>
    </w:tbl>
    <w:p w:rsidR="004E7640" w:rsidRDefault="004E7640">
      <w:pPr>
        <w:spacing w:after="0"/>
      </w:pPr>
    </w:p>
    <w:p w:rsidR="004E7640" w:rsidRDefault="00086EE0">
      <w:r>
        <w:t>Evidentirana je nabava biciklističkih stolaca za učionice.</w:t>
      </w:r>
    </w:p>
    <w:p w:rsidR="004E7640" w:rsidRDefault="004E7640"/>
    <w:p w:rsidR="004E7640" w:rsidRDefault="00086EE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4241</w:t>
            </w:r>
          </w:p>
        </w:tc>
        <w:tc>
          <w:tcPr>
            <w:tcW w:w="3180" w:type="dxa"/>
            <w:tcMar>
              <w:top w:w="0" w:type="dxa"/>
              <w:bottom w:w="0" w:type="dxa"/>
            </w:tcMar>
            <w:vAlign w:val="center"/>
          </w:tcPr>
          <w:p w:rsidR="004E7640" w:rsidRDefault="00086EE0">
            <w:pPr>
              <w:keepNext/>
              <w:keepLines/>
              <w:spacing w:after="0" w:line="240" w:lineRule="auto"/>
            </w:pPr>
            <w:r>
              <w:rPr>
                <w:sz w:val="18"/>
              </w:rPr>
              <w:t>Knjige</w:t>
            </w:r>
          </w:p>
        </w:tc>
        <w:tc>
          <w:tcPr>
            <w:tcW w:w="700" w:type="dxa"/>
            <w:tcMar>
              <w:top w:w="0" w:type="dxa"/>
              <w:bottom w:w="0" w:type="dxa"/>
            </w:tcMar>
            <w:vAlign w:val="center"/>
          </w:tcPr>
          <w:p w:rsidR="004E7640" w:rsidRDefault="00086EE0">
            <w:pPr>
              <w:keepNext/>
              <w:keepLines/>
              <w:spacing w:after="0" w:line="240" w:lineRule="auto"/>
            </w:pPr>
            <w:r>
              <w:rPr>
                <w:sz w:val="18"/>
              </w:rPr>
              <w:t>4241</w:t>
            </w:r>
          </w:p>
        </w:tc>
        <w:tc>
          <w:tcPr>
            <w:tcW w:w="1860" w:type="dxa"/>
            <w:tcMar>
              <w:top w:w="0" w:type="dxa"/>
              <w:bottom w:w="0" w:type="dxa"/>
            </w:tcMar>
            <w:vAlign w:val="center"/>
          </w:tcPr>
          <w:p w:rsidR="004E7640" w:rsidRDefault="00086EE0">
            <w:pPr>
              <w:keepNext/>
              <w:keepLines/>
              <w:spacing w:after="0" w:line="240" w:lineRule="auto"/>
              <w:jc w:val="right"/>
            </w:pPr>
            <w:r>
              <w:rPr>
                <w:sz w:val="18"/>
              </w:rPr>
              <w:t>0,00</w:t>
            </w:r>
          </w:p>
        </w:tc>
        <w:tc>
          <w:tcPr>
            <w:tcW w:w="1860" w:type="dxa"/>
            <w:tcMar>
              <w:top w:w="0" w:type="dxa"/>
              <w:bottom w:w="0" w:type="dxa"/>
            </w:tcMar>
            <w:vAlign w:val="center"/>
          </w:tcPr>
          <w:p w:rsidR="004E7640" w:rsidRDefault="00086EE0">
            <w:pPr>
              <w:keepNext/>
              <w:keepLines/>
              <w:spacing w:after="0" w:line="240" w:lineRule="auto"/>
              <w:jc w:val="right"/>
            </w:pPr>
            <w:r>
              <w:rPr>
                <w:sz w:val="18"/>
              </w:rPr>
              <w:t>134,10</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bl>
    <w:p w:rsidR="004E7640" w:rsidRDefault="004E7640">
      <w:pPr>
        <w:spacing w:after="0"/>
      </w:pPr>
    </w:p>
    <w:p w:rsidR="004E7640" w:rsidRDefault="00086EE0">
      <w:r>
        <w:t>Evidentirana je ostvarena donacija knjiga za školsku knjižnicu od roditelja učenika.</w:t>
      </w:r>
    </w:p>
    <w:p w:rsidR="004E7640" w:rsidRDefault="004E7640"/>
    <w:p w:rsidR="004E7640" w:rsidRDefault="00086EE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451</w:t>
            </w:r>
          </w:p>
        </w:tc>
        <w:tc>
          <w:tcPr>
            <w:tcW w:w="3180" w:type="dxa"/>
            <w:tcMar>
              <w:top w:w="0" w:type="dxa"/>
              <w:bottom w:w="0" w:type="dxa"/>
            </w:tcMar>
            <w:vAlign w:val="center"/>
          </w:tcPr>
          <w:p w:rsidR="004E7640" w:rsidRDefault="00086EE0">
            <w:pPr>
              <w:keepNext/>
              <w:keepLines/>
              <w:spacing w:after="0" w:line="240" w:lineRule="auto"/>
            </w:pPr>
            <w:r>
              <w:rPr>
                <w:sz w:val="18"/>
              </w:rPr>
              <w:t>Dodatna ulaganja na građevinskim objektima</w:t>
            </w:r>
          </w:p>
        </w:tc>
        <w:tc>
          <w:tcPr>
            <w:tcW w:w="700" w:type="dxa"/>
            <w:tcMar>
              <w:top w:w="0" w:type="dxa"/>
              <w:bottom w:w="0" w:type="dxa"/>
            </w:tcMar>
            <w:vAlign w:val="center"/>
          </w:tcPr>
          <w:p w:rsidR="004E7640" w:rsidRDefault="00086EE0">
            <w:pPr>
              <w:keepNext/>
              <w:keepLines/>
              <w:spacing w:after="0" w:line="240" w:lineRule="auto"/>
            </w:pPr>
            <w:r>
              <w:rPr>
                <w:sz w:val="18"/>
              </w:rPr>
              <w:t>451</w:t>
            </w:r>
          </w:p>
        </w:tc>
        <w:tc>
          <w:tcPr>
            <w:tcW w:w="1860" w:type="dxa"/>
            <w:tcMar>
              <w:top w:w="0" w:type="dxa"/>
              <w:bottom w:w="0" w:type="dxa"/>
            </w:tcMar>
            <w:vAlign w:val="center"/>
          </w:tcPr>
          <w:p w:rsidR="004E7640" w:rsidRDefault="00086EE0">
            <w:pPr>
              <w:keepNext/>
              <w:keepLines/>
              <w:spacing w:after="0" w:line="240" w:lineRule="auto"/>
              <w:jc w:val="right"/>
            </w:pPr>
            <w:r>
              <w:rPr>
                <w:sz w:val="18"/>
              </w:rPr>
              <w:t>22.443,75</w:t>
            </w:r>
          </w:p>
        </w:tc>
        <w:tc>
          <w:tcPr>
            <w:tcW w:w="1860" w:type="dxa"/>
            <w:tcMar>
              <w:top w:w="0" w:type="dxa"/>
              <w:bottom w:w="0" w:type="dxa"/>
            </w:tcMar>
            <w:vAlign w:val="center"/>
          </w:tcPr>
          <w:p w:rsidR="004E7640" w:rsidRDefault="00086EE0">
            <w:pPr>
              <w:keepNext/>
              <w:keepLines/>
              <w:spacing w:after="0" w:line="240" w:lineRule="auto"/>
              <w:jc w:val="right"/>
            </w:pPr>
            <w:r>
              <w:rPr>
                <w:sz w:val="18"/>
              </w:rPr>
              <w:t>31.860,63</w:t>
            </w:r>
          </w:p>
        </w:tc>
        <w:tc>
          <w:tcPr>
            <w:tcW w:w="700" w:type="dxa"/>
            <w:tcMar>
              <w:top w:w="0" w:type="dxa"/>
              <w:bottom w:w="0" w:type="dxa"/>
            </w:tcMar>
            <w:vAlign w:val="center"/>
          </w:tcPr>
          <w:p w:rsidR="004E7640" w:rsidRDefault="00086EE0">
            <w:pPr>
              <w:keepNext/>
              <w:keepLines/>
              <w:spacing w:after="0" w:line="240" w:lineRule="auto"/>
              <w:jc w:val="right"/>
            </w:pPr>
            <w:r>
              <w:rPr>
                <w:sz w:val="18"/>
              </w:rPr>
              <w:t>142,0</w:t>
            </w:r>
          </w:p>
        </w:tc>
      </w:tr>
    </w:tbl>
    <w:p w:rsidR="004E7640" w:rsidRDefault="004E7640">
      <w:pPr>
        <w:spacing w:after="0"/>
      </w:pPr>
    </w:p>
    <w:p w:rsidR="004E7640" w:rsidRDefault="00086EE0" w:rsidP="006F4401">
      <w:pPr>
        <w:jc w:val="both"/>
      </w:pPr>
      <w:r>
        <w:t xml:space="preserve">Evidentirani su rashodi nabave PVC stolarije, prozora </w:t>
      </w:r>
      <w:r w:rsidR="006F4401">
        <w:t xml:space="preserve">na većem dijelu škole </w:t>
      </w:r>
      <w:r>
        <w:t>i ulaznih vra</w:t>
      </w:r>
      <w:r w:rsidR="006F4401">
        <w:t>ta</w:t>
      </w:r>
      <w:r>
        <w:t>.</w:t>
      </w:r>
    </w:p>
    <w:p w:rsidR="004E7640" w:rsidRDefault="004E7640"/>
    <w:p w:rsidR="004E7640" w:rsidRDefault="00086EE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4E7640">
            <w:pPr>
              <w:keepNext/>
              <w:keepLines/>
              <w:spacing w:after="0" w:line="240" w:lineRule="auto"/>
            </w:pPr>
          </w:p>
        </w:tc>
        <w:tc>
          <w:tcPr>
            <w:tcW w:w="3180" w:type="dxa"/>
            <w:tcMar>
              <w:top w:w="0" w:type="dxa"/>
              <w:bottom w:w="0" w:type="dxa"/>
            </w:tcMar>
            <w:vAlign w:val="center"/>
          </w:tcPr>
          <w:p w:rsidR="004E7640" w:rsidRDefault="00086EE0">
            <w:pPr>
              <w:keepNext/>
              <w:keepLines/>
              <w:spacing w:after="0" w:line="240" w:lineRule="auto"/>
            </w:pPr>
            <w:r>
              <w:rPr>
                <w:sz w:val="18"/>
              </w:rPr>
              <w:t>UKUPAN VIŠAK PRIHODA (šifre X067-Y034)</w:t>
            </w:r>
          </w:p>
        </w:tc>
        <w:tc>
          <w:tcPr>
            <w:tcW w:w="700" w:type="dxa"/>
            <w:tcMar>
              <w:top w:w="0" w:type="dxa"/>
              <w:bottom w:w="0" w:type="dxa"/>
            </w:tcMar>
            <w:vAlign w:val="center"/>
          </w:tcPr>
          <w:p w:rsidR="004E7640" w:rsidRDefault="00086EE0">
            <w:pPr>
              <w:keepNext/>
              <w:keepLines/>
              <w:spacing w:after="0" w:line="240" w:lineRule="auto"/>
            </w:pPr>
            <w:r>
              <w:rPr>
                <w:sz w:val="18"/>
              </w:rPr>
              <w:t>X004</w:t>
            </w:r>
          </w:p>
        </w:tc>
        <w:tc>
          <w:tcPr>
            <w:tcW w:w="1860" w:type="dxa"/>
            <w:tcMar>
              <w:top w:w="0" w:type="dxa"/>
              <w:bottom w:w="0" w:type="dxa"/>
            </w:tcMar>
            <w:vAlign w:val="center"/>
          </w:tcPr>
          <w:p w:rsidR="004E7640" w:rsidRDefault="00086EE0">
            <w:pPr>
              <w:keepNext/>
              <w:keepLines/>
              <w:spacing w:after="0" w:line="240" w:lineRule="auto"/>
              <w:jc w:val="right"/>
            </w:pPr>
            <w:r>
              <w:rPr>
                <w:sz w:val="18"/>
              </w:rPr>
              <w:t>0,00</w:t>
            </w:r>
          </w:p>
        </w:tc>
        <w:tc>
          <w:tcPr>
            <w:tcW w:w="1860" w:type="dxa"/>
            <w:tcMar>
              <w:top w:w="0" w:type="dxa"/>
              <w:bottom w:w="0" w:type="dxa"/>
            </w:tcMar>
            <w:vAlign w:val="center"/>
          </w:tcPr>
          <w:p w:rsidR="004E7640" w:rsidRDefault="00086EE0">
            <w:pPr>
              <w:keepNext/>
              <w:keepLines/>
              <w:spacing w:after="0" w:line="240" w:lineRule="auto"/>
              <w:jc w:val="right"/>
            </w:pPr>
            <w:r>
              <w:rPr>
                <w:sz w:val="18"/>
              </w:rPr>
              <w:t>53.290,09</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bl>
    <w:p w:rsidR="004E7640" w:rsidRDefault="004E7640">
      <w:pPr>
        <w:spacing w:after="0"/>
      </w:pPr>
    </w:p>
    <w:p w:rsidR="004E7640" w:rsidRDefault="00086EE0" w:rsidP="006F4401">
      <w:pPr>
        <w:jc w:val="both"/>
      </w:pPr>
      <w:r>
        <w:t>U ovom izvještajnom razdoblju ostvaren je višak prihoda poslovanja nad rashodima u iznosu 53.290,09 EUR. Međutim na referentnoj stranici prikazan je ukupni manjak prihoda za pokriće u sljedećem obračunskom razdoblju u iznosu 77.845,25 EUR što je rezultat pokrića prenesenog manjka prihoda iz 2025. godine u iznosu 131.135,34 EUR s navedenim ostvarenim viškom prihoda poslovanja u ovom obračunskom razdoblju.</w:t>
      </w:r>
    </w:p>
    <w:p w:rsidR="004E7640" w:rsidRDefault="004E7640"/>
    <w:p w:rsidR="004E7640" w:rsidRDefault="00086EE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11</w:t>
            </w:r>
          </w:p>
        </w:tc>
        <w:tc>
          <w:tcPr>
            <w:tcW w:w="3180" w:type="dxa"/>
            <w:tcMar>
              <w:top w:w="0" w:type="dxa"/>
              <w:bottom w:w="0" w:type="dxa"/>
            </w:tcMar>
            <w:vAlign w:val="center"/>
          </w:tcPr>
          <w:p w:rsidR="004E7640" w:rsidRDefault="00086EE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4E7640" w:rsidRDefault="00086EE0">
            <w:pPr>
              <w:keepNext/>
              <w:keepLines/>
              <w:spacing w:after="0" w:line="240" w:lineRule="auto"/>
            </w:pPr>
            <w:r>
              <w:rPr>
                <w:sz w:val="18"/>
              </w:rPr>
              <w:t>11K</w:t>
            </w:r>
          </w:p>
        </w:tc>
        <w:tc>
          <w:tcPr>
            <w:tcW w:w="1860" w:type="dxa"/>
            <w:tcMar>
              <w:top w:w="0" w:type="dxa"/>
              <w:bottom w:w="0" w:type="dxa"/>
            </w:tcMar>
            <w:vAlign w:val="center"/>
          </w:tcPr>
          <w:p w:rsidR="004E7640" w:rsidRDefault="00086EE0">
            <w:pPr>
              <w:keepNext/>
              <w:keepLines/>
              <w:spacing w:after="0" w:line="240" w:lineRule="auto"/>
              <w:jc w:val="right"/>
            </w:pPr>
            <w:r>
              <w:rPr>
                <w:sz w:val="18"/>
              </w:rPr>
              <w:t>24.051,15</w:t>
            </w:r>
          </w:p>
        </w:tc>
        <w:tc>
          <w:tcPr>
            <w:tcW w:w="1860" w:type="dxa"/>
            <w:tcMar>
              <w:top w:w="0" w:type="dxa"/>
              <w:bottom w:w="0" w:type="dxa"/>
            </w:tcMar>
            <w:vAlign w:val="center"/>
          </w:tcPr>
          <w:p w:rsidR="004E7640" w:rsidRDefault="00086EE0">
            <w:pPr>
              <w:keepNext/>
              <w:keepLines/>
              <w:spacing w:after="0" w:line="240" w:lineRule="auto"/>
              <w:jc w:val="right"/>
            </w:pPr>
            <w:r>
              <w:rPr>
                <w:sz w:val="18"/>
              </w:rPr>
              <w:t>32.015,17</w:t>
            </w:r>
          </w:p>
        </w:tc>
        <w:tc>
          <w:tcPr>
            <w:tcW w:w="700" w:type="dxa"/>
            <w:tcMar>
              <w:top w:w="0" w:type="dxa"/>
              <w:bottom w:w="0" w:type="dxa"/>
            </w:tcMar>
            <w:vAlign w:val="center"/>
          </w:tcPr>
          <w:p w:rsidR="004E7640" w:rsidRDefault="00086EE0">
            <w:pPr>
              <w:keepNext/>
              <w:keepLines/>
              <w:spacing w:after="0" w:line="240" w:lineRule="auto"/>
              <w:jc w:val="right"/>
            </w:pPr>
            <w:r>
              <w:rPr>
                <w:sz w:val="18"/>
              </w:rPr>
              <w:t>133,1</w:t>
            </w:r>
          </w:p>
        </w:tc>
      </w:tr>
    </w:tbl>
    <w:p w:rsidR="004E7640" w:rsidRDefault="004E7640">
      <w:pPr>
        <w:spacing w:after="0"/>
      </w:pPr>
    </w:p>
    <w:p w:rsidR="004E7640" w:rsidRDefault="00086EE0" w:rsidP="006F4401">
      <w:pPr>
        <w:jc w:val="both"/>
      </w:pPr>
      <w:r>
        <w:t>Stanje novčanih sredstava odgovara stanju na izvodu računa u poslovnoj banci na dan 30.06.2026. godine, 32.004,55 EUR. Stanje blagajne na dan 30.06.2026. godine iznosi 10,62 EUR. Njihov zbroj daje ukupna novčana sredstva na kraju izvještajnog razdoblja 32.015,17 EUR.</w:t>
      </w:r>
    </w:p>
    <w:p w:rsidR="004E7640" w:rsidRDefault="004E7640"/>
    <w:p w:rsidR="004E7640" w:rsidRDefault="00086EE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63612</w:t>
            </w:r>
          </w:p>
        </w:tc>
        <w:tc>
          <w:tcPr>
            <w:tcW w:w="3180" w:type="dxa"/>
            <w:tcMar>
              <w:top w:w="0" w:type="dxa"/>
              <w:bottom w:w="0" w:type="dxa"/>
            </w:tcMar>
            <w:vAlign w:val="center"/>
          </w:tcPr>
          <w:p w:rsidR="004E7640" w:rsidRDefault="00086EE0">
            <w:pPr>
              <w:keepNext/>
              <w:keepLines/>
              <w:spacing w:after="0" w:line="240" w:lineRule="auto"/>
            </w:pPr>
            <w:r>
              <w:rPr>
                <w:sz w:val="18"/>
              </w:rPr>
              <w:t>Tekuće pomoći iz državnog proračuna proračunskim korisnicima proračuna JLP(R)S</w:t>
            </w:r>
          </w:p>
        </w:tc>
        <w:tc>
          <w:tcPr>
            <w:tcW w:w="700" w:type="dxa"/>
            <w:tcMar>
              <w:top w:w="0" w:type="dxa"/>
              <w:bottom w:w="0" w:type="dxa"/>
            </w:tcMar>
            <w:vAlign w:val="center"/>
          </w:tcPr>
          <w:p w:rsidR="004E7640" w:rsidRDefault="00086EE0">
            <w:pPr>
              <w:keepNext/>
              <w:keepLines/>
              <w:spacing w:after="0" w:line="240" w:lineRule="auto"/>
            </w:pPr>
            <w:r>
              <w:rPr>
                <w:sz w:val="18"/>
              </w:rPr>
              <w:t>63612</w:t>
            </w:r>
          </w:p>
        </w:tc>
        <w:tc>
          <w:tcPr>
            <w:tcW w:w="1860" w:type="dxa"/>
            <w:tcMar>
              <w:top w:w="0" w:type="dxa"/>
              <w:bottom w:w="0" w:type="dxa"/>
            </w:tcMar>
            <w:vAlign w:val="center"/>
          </w:tcPr>
          <w:p w:rsidR="004E7640" w:rsidRDefault="00086EE0">
            <w:pPr>
              <w:keepNext/>
              <w:keepLines/>
              <w:spacing w:after="0" w:line="240" w:lineRule="auto"/>
              <w:jc w:val="right"/>
            </w:pPr>
            <w:r>
              <w:rPr>
                <w:sz w:val="18"/>
              </w:rPr>
              <w:t>588.380,29</w:t>
            </w:r>
          </w:p>
        </w:tc>
        <w:tc>
          <w:tcPr>
            <w:tcW w:w="1860" w:type="dxa"/>
            <w:tcMar>
              <w:top w:w="0" w:type="dxa"/>
              <w:bottom w:w="0" w:type="dxa"/>
            </w:tcMar>
            <w:vAlign w:val="center"/>
          </w:tcPr>
          <w:p w:rsidR="004E7640" w:rsidRDefault="00086EE0">
            <w:pPr>
              <w:keepNext/>
              <w:keepLines/>
              <w:spacing w:after="0" w:line="240" w:lineRule="auto"/>
              <w:jc w:val="right"/>
            </w:pPr>
            <w:r>
              <w:rPr>
                <w:sz w:val="18"/>
              </w:rPr>
              <w:t>655.645,43</w:t>
            </w:r>
          </w:p>
        </w:tc>
        <w:tc>
          <w:tcPr>
            <w:tcW w:w="700" w:type="dxa"/>
            <w:tcMar>
              <w:top w:w="0" w:type="dxa"/>
              <w:bottom w:w="0" w:type="dxa"/>
            </w:tcMar>
            <w:vAlign w:val="center"/>
          </w:tcPr>
          <w:p w:rsidR="004E7640" w:rsidRDefault="00086EE0">
            <w:pPr>
              <w:keepNext/>
              <w:keepLines/>
              <w:spacing w:after="0" w:line="240" w:lineRule="auto"/>
              <w:jc w:val="right"/>
            </w:pPr>
            <w:r>
              <w:rPr>
                <w:sz w:val="18"/>
              </w:rPr>
              <w:t>111,4</w:t>
            </w:r>
          </w:p>
        </w:tc>
      </w:tr>
    </w:tbl>
    <w:p w:rsidR="004E7640" w:rsidRDefault="004E7640">
      <w:pPr>
        <w:spacing w:after="0"/>
      </w:pPr>
    </w:p>
    <w:p w:rsidR="004E7640" w:rsidRDefault="00086EE0" w:rsidP="006F4401">
      <w:pPr>
        <w:jc w:val="both"/>
      </w:pPr>
      <w:r>
        <w:t>Tekuće pomoći proračunskim korisnicima iz proračuna koji im nije nadležan sadrže prihode MZOM za obavljanje redovne osnovnoškolske djelatnosti.</w:t>
      </w:r>
    </w:p>
    <w:p w:rsidR="004E7640" w:rsidRDefault="004E7640"/>
    <w:p w:rsidR="004E7640" w:rsidRDefault="00086EE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63613</w:t>
            </w:r>
          </w:p>
        </w:tc>
        <w:tc>
          <w:tcPr>
            <w:tcW w:w="3180" w:type="dxa"/>
            <w:tcMar>
              <w:top w:w="0" w:type="dxa"/>
              <w:bottom w:w="0" w:type="dxa"/>
            </w:tcMar>
            <w:vAlign w:val="center"/>
          </w:tcPr>
          <w:p w:rsidR="004E7640" w:rsidRDefault="00086EE0">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rsidR="004E7640" w:rsidRDefault="00086EE0">
            <w:pPr>
              <w:keepNext/>
              <w:keepLines/>
              <w:spacing w:after="0" w:line="240" w:lineRule="auto"/>
            </w:pPr>
            <w:r>
              <w:rPr>
                <w:sz w:val="18"/>
              </w:rPr>
              <w:t>63613</w:t>
            </w:r>
          </w:p>
        </w:tc>
        <w:tc>
          <w:tcPr>
            <w:tcW w:w="1860" w:type="dxa"/>
            <w:tcMar>
              <w:top w:w="0" w:type="dxa"/>
              <w:bottom w:w="0" w:type="dxa"/>
            </w:tcMar>
            <w:vAlign w:val="center"/>
          </w:tcPr>
          <w:p w:rsidR="004E7640" w:rsidRDefault="00086EE0">
            <w:pPr>
              <w:keepNext/>
              <w:keepLines/>
              <w:spacing w:after="0" w:line="240" w:lineRule="auto"/>
              <w:jc w:val="right"/>
            </w:pPr>
            <w:r>
              <w:rPr>
                <w:sz w:val="18"/>
              </w:rPr>
              <w:t>508,09</w:t>
            </w:r>
          </w:p>
        </w:tc>
        <w:tc>
          <w:tcPr>
            <w:tcW w:w="1860" w:type="dxa"/>
            <w:tcMar>
              <w:top w:w="0" w:type="dxa"/>
              <w:bottom w:w="0" w:type="dxa"/>
            </w:tcMar>
            <w:vAlign w:val="center"/>
          </w:tcPr>
          <w:p w:rsidR="004E7640" w:rsidRDefault="00086EE0">
            <w:pPr>
              <w:keepNext/>
              <w:keepLines/>
              <w:spacing w:after="0" w:line="240" w:lineRule="auto"/>
              <w:jc w:val="right"/>
            </w:pPr>
            <w:r>
              <w:rPr>
                <w:sz w:val="18"/>
              </w:rPr>
              <w:t>513,84</w:t>
            </w:r>
          </w:p>
        </w:tc>
        <w:tc>
          <w:tcPr>
            <w:tcW w:w="700" w:type="dxa"/>
            <w:tcMar>
              <w:top w:w="0" w:type="dxa"/>
              <w:bottom w:w="0" w:type="dxa"/>
            </w:tcMar>
            <w:vAlign w:val="center"/>
          </w:tcPr>
          <w:p w:rsidR="004E7640" w:rsidRDefault="00086EE0">
            <w:pPr>
              <w:keepNext/>
              <w:keepLines/>
              <w:spacing w:after="0" w:line="240" w:lineRule="auto"/>
              <w:jc w:val="right"/>
            </w:pPr>
            <w:r>
              <w:rPr>
                <w:sz w:val="18"/>
              </w:rPr>
              <w:t>101,1</w:t>
            </w:r>
          </w:p>
        </w:tc>
      </w:tr>
    </w:tbl>
    <w:p w:rsidR="004E7640" w:rsidRDefault="004E7640">
      <w:pPr>
        <w:spacing w:after="0"/>
      </w:pPr>
    </w:p>
    <w:p w:rsidR="004E7640" w:rsidRDefault="00086EE0" w:rsidP="006F4401">
      <w:pPr>
        <w:jc w:val="both"/>
      </w:pPr>
      <w:r>
        <w:t>Prihod Varaždinske županije za financiranje natjecanja na županijskoj razini koje se odvija u školi.</w:t>
      </w:r>
    </w:p>
    <w:p w:rsidR="004E7640" w:rsidRDefault="004E7640"/>
    <w:p w:rsidR="004E7640" w:rsidRDefault="00086EE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65264</w:t>
            </w:r>
          </w:p>
        </w:tc>
        <w:tc>
          <w:tcPr>
            <w:tcW w:w="3180" w:type="dxa"/>
            <w:tcMar>
              <w:top w:w="0" w:type="dxa"/>
              <w:bottom w:w="0" w:type="dxa"/>
            </w:tcMar>
            <w:vAlign w:val="center"/>
          </w:tcPr>
          <w:p w:rsidR="004E7640" w:rsidRDefault="00086EE0">
            <w:pPr>
              <w:keepNext/>
              <w:keepLines/>
              <w:spacing w:after="0" w:line="240" w:lineRule="auto"/>
            </w:pPr>
            <w:r>
              <w:rPr>
                <w:sz w:val="18"/>
              </w:rPr>
              <w:t>Sufinanciranje cijene usluge, participacije i slično</w:t>
            </w:r>
          </w:p>
        </w:tc>
        <w:tc>
          <w:tcPr>
            <w:tcW w:w="700" w:type="dxa"/>
            <w:tcMar>
              <w:top w:w="0" w:type="dxa"/>
              <w:bottom w:w="0" w:type="dxa"/>
            </w:tcMar>
            <w:vAlign w:val="center"/>
          </w:tcPr>
          <w:p w:rsidR="004E7640" w:rsidRDefault="00086EE0">
            <w:pPr>
              <w:keepNext/>
              <w:keepLines/>
              <w:spacing w:after="0" w:line="240" w:lineRule="auto"/>
            </w:pPr>
            <w:r>
              <w:rPr>
                <w:sz w:val="18"/>
              </w:rPr>
              <w:t>65264</w:t>
            </w:r>
          </w:p>
        </w:tc>
        <w:tc>
          <w:tcPr>
            <w:tcW w:w="1860" w:type="dxa"/>
            <w:tcMar>
              <w:top w:w="0" w:type="dxa"/>
              <w:bottom w:w="0" w:type="dxa"/>
            </w:tcMar>
            <w:vAlign w:val="center"/>
          </w:tcPr>
          <w:p w:rsidR="004E7640" w:rsidRDefault="00086EE0">
            <w:pPr>
              <w:keepNext/>
              <w:keepLines/>
              <w:spacing w:after="0" w:line="240" w:lineRule="auto"/>
              <w:jc w:val="right"/>
            </w:pPr>
            <w:r>
              <w:rPr>
                <w:sz w:val="18"/>
              </w:rPr>
              <w:t>28.124,00</w:t>
            </w:r>
          </w:p>
        </w:tc>
        <w:tc>
          <w:tcPr>
            <w:tcW w:w="1860" w:type="dxa"/>
            <w:tcMar>
              <w:top w:w="0" w:type="dxa"/>
              <w:bottom w:w="0" w:type="dxa"/>
            </w:tcMar>
            <w:vAlign w:val="center"/>
          </w:tcPr>
          <w:p w:rsidR="004E7640" w:rsidRDefault="00086EE0">
            <w:pPr>
              <w:keepNext/>
              <w:keepLines/>
              <w:spacing w:after="0" w:line="240" w:lineRule="auto"/>
              <w:jc w:val="right"/>
            </w:pPr>
            <w:r>
              <w:rPr>
                <w:sz w:val="18"/>
              </w:rPr>
              <w:t>31.310,19</w:t>
            </w:r>
          </w:p>
        </w:tc>
        <w:tc>
          <w:tcPr>
            <w:tcW w:w="700" w:type="dxa"/>
            <w:tcMar>
              <w:top w:w="0" w:type="dxa"/>
              <w:bottom w:w="0" w:type="dxa"/>
            </w:tcMar>
            <w:vAlign w:val="center"/>
          </w:tcPr>
          <w:p w:rsidR="004E7640" w:rsidRDefault="00086EE0">
            <w:pPr>
              <w:keepNext/>
              <w:keepLines/>
              <w:spacing w:after="0" w:line="240" w:lineRule="auto"/>
              <w:jc w:val="right"/>
            </w:pPr>
            <w:r>
              <w:rPr>
                <w:sz w:val="18"/>
              </w:rPr>
              <w:t>111,3</w:t>
            </w:r>
          </w:p>
        </w:tc>
      </w:tr>
    </w:tbl>
    <w:p w:rsidR="004E7640" w:rsidRDefault="004E7640">
      <w:pPr>
        <w:spacing w:after="0"/>
      </w:pPr>
    </w:p>
    <w:p w:rsidR="004E7640" w:rsidRDefault="00086EE0" w:rsidP="006F4401">
      <w:r>
        <w:t>Roditelji učenika na žiro račun škole upla</w:t>
      </w:r>
      <w:r w:rsidR="006F4401">
        <w:t>ć</w:t>
      </w:r>
      <w:r>
        <w:t>uju  iznose za ručak prema izdanim računima za količinu ručka koju je učenik konzumirao u mjesecu. Cijena ručka iznosi 3,00 EUR. Ovdje su evidentirani tako naplaćeni namjenski prihodi od sufin</w:t>
      </w:r>
      <w:r w:rsidR="006F4401">
        <w:t>an</w:t>
      </w:r>
      <w:r>
        <w:t>ciranja ručka.</w:t>
      </w:r>
    </w:p>
    <w:p w:rsidR="004E7640" w:rsidRDefault="004E7640"/>
    <w:p w:rsidR="004E7640" w:rsidRDefault="00086EE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32361</w:t>
            </w:r>
          </w:p>
        </w:tc>
        <w:tc>
          <w:tcPr>
            <w:tcW w:w="3180" w:type="dxa"/>
            <w:tcMar>
              <w:top w:w="0" w:type="dxa"/>
              <w:bottom w:w="0" w:type="dxa"/>
            </w:tcMar>
            <w:vAlign w:val="center"/>
          </w:tcPr>
          <w:p w:rsidR="004E7640" w:rsidRDefault="00086EE0">
            <w:pPr>
              <w:keepNext/>
              <w:keepLines/>
              <w:spacing w:after="0" w:line="240" w:lineRule="auto"/>
            </w:pPr>
            <w:r>
              <w:rPr>
                <w:sz w:val="18"/>
              </w:rPr>
              <w:t>Obvezni i preventivni zdravstveni pregledi zaposlenika</w:t>
            </w:r>
          </w:p>
        </w:tc>
        <w:tc>
          <w:tcPr>
            <w:tcW w:w="700" w:type="dxa"/>
            <w:tcMar>
              <w:top w:w="0" w:type="dxa"/>
              <w:bottom w:w="0" w:type="dxa"/>
            </w:tcMar>
            <w:vAlign w:val="center"/>
          </w:tcPr>
          <w:p w:rsidR="004E7640" w:rsidRDefault="00086EE0">
            <w:pPr>
              <w:keepNext/>
              <w:keepLines/>
              <w:spacing w:after="0" w:line="240" w:lineRule="auto"/>
            </w:pPr>
            <w:r>
              <w:rPr>
                <w:sz w:val="18"/>
              </w:rPr>
              <w:t>32361</w:t>
            </w:r>
          </w:p>
        </w:tc>
        <w:tc>
          <w:tcPr>
            <w:tcW w:w="1860" w:type="dxa"/>
            <w:tcMar>
              <w:top w:w="0" w:type="dxa"/>
              <w:bottom w:w="0" w:type="dxa"/>
            </w:tcMar>
            <w:vAlign w:val="center"/>
          </w:tcPr>
          <w:p w:rsidR="004E7640" w:rsidRDefault="00086EE0">
            <w:pPr>
              <w:keepNext/>
              <w:keepLines/>
              <w:spacing w:after="0" w:line="240" w:lineRule="auto"/>
              <w:jc w:val="right"/>
            </w:pPr>
            <w:r>
              <w:rPr>
                <w:sz w:val="18"/>
              </w:rPr>
              <w:t>62,55</w:t>
            </w:r>
          </w:p>
        </w:tc>
        <w:tc>
          <w:tcPr>
            <w:tcW w:w="1860" w:type="dxa"/>
            <w:tcMar>
              <w:top w:w="0" w:type="dxa"/>
              <w:bottom w:w="0" w:type="dxa"/>
            </w:tcMar>
            <w:vAlign w:val="center"/>
          </w:tcPr>
          <w:p w:rsidR="004E7640" w:rsidRDefault="00086EE0">
            <w:pPr>
              <w:keepNext/>
              <w:keepLines/>
              <w:spacing w:after="0" w:line="240" w:lineRule="auto"/>
              <w:jc w:val="right"/>
            </w:pPr>
            <w:r>
              <w:rPr>
                <w:sz w:val="18"/>
              </w:rPr>
              <w:t>43,80</w:t>
            </w:r>
          </w:p>
        </w:tc>
        <w:tc>
          <w:tcPr>
            <w:tcW w:w="700" w:type="dxa"/>
            <w:tcMar>
              <w:top w:w="0" w:type="dxa"/>
              <w:bottom w:w="0" w:type="dxa"/>
            </w:tcMar>
            <w:vAlign w:val="center"/>
          </w:tcPr>
          <w:p w:rsidR="004E7640" w:rsidRDefault="00086EE0">
            <w:pPr>
              <w:keepNext/>
              <w:keepLines/>
              <w:spacing w:after="0" w:line="240" w:lineRule="auto"/>
              <w:jc w:val="right"/>
            </w:pPr>
            <w:r>
              <w:rPr>
                <w:sz w:val="18"/>
              </w:rPr>
              <w:t>70,0</w:t>
            </w:r>
          </w:p>
        </w:tc>
      </w:tr>
    </w:tbl>
    <w:p w:rsidR="004E7640" w:rsidRDefault="004E7640">
      <w:pPr>
        <w:spacing w:after="0"/>
      </w:pPr>
    </w:p>
    <w:p w:rsidR="004E7640" w:rsidRDefault="00086EE0" w:rsidP="006F4401">
      <w:pPr>
        <w:jc w:val="both"/>
      </w:pPr>
      <w:r>
        <w:t>Evidentiraju se rashodi redovitih mikrobioloških ispitivanja u školskoj kuhinji od strane HZZO.</w:t>
      </w:r>
    </w:p>
    <w:p w:rsidR="004E7640" w:rsidRDefault="004E7640"/>
    <w:p w:rsidR="004E7640" w:rsidRDefault="00086EE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32372</w:t>
            </w:r>
          </w:p>
        </w:tc>
        <w:tc>
          <w:tcPr>
            <w:tcW w:w="3180" w:type="dxa"/>
            <w:tcMar>
              <w:top w:w="0" w:type="dxa"/>
              <w:bottom w:w="0" w:type="dxa"/>
            </w:tcMar>
            <w:vAlign w:val="center"/>
          </w:tcPr>
          <w:p w:rsidR="004E7640" w:rsidRDefault="00086EE0">
            <w:pPr>
              <w:keepNext/>
              <w:keepLines/>
              <w:spacing w:after="0" w:line="240" w:lineRule="auto"/>
            </w:pPr>
            <w:r>
              <w:rPr>
                <w:sz w:val="18"/>
              </w:rPr>
              <w:t>Ugovori o djelu</w:t>
            </w:r>
          </w:p>
        </w:tc>
        <w:tc>
          <w:tcPr>
            <w:tcW w:w="700" w:type="dxa"/>
            <w:tcMar>
              <w:top w:w="0" w:type="dxa"/>
              <w:bottom w:w="0" w:type="dxa"/>
            </w:tcMar>
            <w:vAlign w:val="center"/>
          </w:tcPr>
          <w:p w:rsidR="004E7640" w:rsidRDefault="00086EE0">
            <w:pPr>
              <w:keepNext/>
              <w:keepLines/>
              <w:spacing w:after="0" w:line="240" w:lineRule="auto"/>
            </w:pPr>
            <w:r>
              <w:rPr>
                <w:sz w:val="18"/>
              </w:rPr>
              <w:t>32372</w:t>
            </w:r>
          </w:p>
        </w:tc>
        <w:tc>
          <w:tcPr>
            <w:tcW w:w="1860" w:type="dxa"/>
            <w:tcMar>
              <w:top w:w="0" w:type="dxa"/>
              <w:bottom w:w="0" w:type="dxa"/>
            </w:tcMar>
            <w:vAlign w:val="center"/>
          </w:tcPr>
          <w:p w:rsidR="004E7640" w:rsidRDefault="00086EE0">
            <w:pPr>
              <w:keepNext/>
              <w:keepLines/>
              <w:spacing w:after="0" w:line="240" w:lineRule="auto"/>
              <w:jc w:val="right"/>
            </w:pPr>
            <w:r>
              <w:rPr>
                <w:sz w:val="18"/>
              </w:rPr>
              <w:t>127,40</w:t>
            </w:r>
          </w:p>
        </w:tc>
        <w:tc>
          <w:tcPr>
            <w:tcW w:w="1860" w:type="dxa"/>
            <w:tcMar>
              <w:top w:w="0" w:type="dxa"/>
              <w:bottom w:w="0" w:type="dxa"/>
            </w:tcMar>
            <w:vAlign w:val="center"/>
          </w:tcPr>
          <w:p w:rsidR="004E7640" w:rsidRDefault="00086EE0">
            <w:pPr>
              <w:keepNext/>
              <w:keepLines/>
              <w:spacing w:after="0" w:line="240" w:lineRule="auto"/>
              <w:jc w:val="right"/>
            </w:pPr>
            <w:r>
              <w:rPr>
                <w:sz w:val="18"/>
              </w:rPr>
              <w:t>160,00</w:t>
            </w:r>
          </w:p>
        </w:tc>
        <w:tc>
          <w:tcPr>
            <w:tcW w:w="700" w:type="dxa"/>
            <w:tcMar>
              <w:top w:w="0" w:type="dxa"/>
              <w:bottom w:w="0" w:type="dxa"/>
            </w:tcMar>
            <w:vAlign w:val="center"/>
          </w:tcPr>
          <w:p w:rsidR="004E7640" w:rsidRDefault="00086EE0">
            <w:pPr>
              <w:keepNext/>
              <w:keepLines/>
              <w:spacing w:after="0" w:line="240" w:lineRule="auto"/>
              <w:jc w:val="right"/>
            </w:pPr>
            <w:r>
              <w:rPr>
                <w:sz w:val="18"/>
              </w:rPr>
              <w:t>125,6</w:t>
            </w:r>
          </w:p>
        </w:tc>
      </w:tr>
    </w:tbl>
    <w:p w:rsidR="004E7640" w:rsidRDefault="004E7640">
      <w:pPr>
        <w:spacing w:after="0"/>
      </w:pPr>
    </w:p>
    <w:p w:rsidR="004E7640" w:rsidRDefault="00086EE0" w:rsidP="006F4401">
      <w:pPr>
        <w:jc w:val="both"/>
      </w:pPr>
      <w:r>
        <w:t>Evidentirani su Ugovori o djelu mentorima na županijskom natjecanju iz njemačkog jezika koje financira Varaždinska županija i sukladno Zaključku i Rješenjima isplaćeni su Ugovori o djelu mentorima. Iznos Ugovara o djelu povećan je na 40,00 EUR.</w:t>
      </w:r>
    </w:p>
    <w:p w:rsidR="004E7640" w:rsidRDefault="004E7640"/>
    <w:p w:rsidR="004E7640" w:rsidRDefault="00086EE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32955</w:t>
            </w:r>
          </w:p>
        </w:tc>
        <w:tc>
          <w:tcPr>
            <w:tcW w:w="3180" w:type="dxa"/>
            <w:tcMar>
              <w:top w:w="0" w:type="dxa"/>
              <w:bottom w:w="0" w:type="dxa"/>
            </w:tcMar>
            <w:vAlign w:val="center"/>
          </w:tcPr>
          <w:p w:rsidR="004E7640" w:rsidRDefault="00086EE0">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rsidR="004E7640" w:rsidRDefault="00086EE0">
            <w:pPr>
              <w:keepNext/>
              <w:keepLines/>
              <w:spacing w:after="0" w:line="240" w:lineRule="auto"/>
            </w:pPr>
            <w:r>
              <w:rPr>
                <w:sz w:val="18"/>
              </w:rPr>
              <w:t>32955</w:t>
            </w:r>
          </w:p>
        </w:tc>
        <w:tc>
          <w:tcPr>
            <w:tcW w:w="1860" w:type="dxa"/>
            <w:tcMar>
              <w:top w:w="0" w:type="dxa"/>
              <w:bottom w:w="0" w:type="dxa"/>
            </w:tcMar>
            <w:vAlign w:val="center"/>
          </w:tcPr>
          <w:p w:rsidR="004E7640" w:rsidRDefault="00086EE0">
            <w:pPr>
              <w:keepNext/>
              <w:keepLines/>
              <w:spacing w:after="0" w:line="240" w:lineRule="auto"/>
              <w:jc w:val="right"/>
            </w:pPr>
            <w:r>
              <w:rPr>
                <w:sz w:val="18"/>
              </w:rPr>
              <w:t>0,00</w:t>
            </w:r>
          </w:p>
        </w:tc>
        <w:tc>
          <w:tcPr>
            <w:tcW w:w="1860" w:type="dxa"/>
            <w:tcMar>
              <w:top w:w="0" w:type="dxa"/>
              <w:bottom w:w="0" w:type="dxa"/>
            </w:tcMar>
            <w:vAlign w:val="center"/>
          </w:tcPr>
          <w:p w:rsidR="004E7640" w:rsidRDefault="00086EE0">
            <w:pPr>
              <w:keepNext/>
              <w:keepLines/>
              <w:spacing w:after="0" w:line="240" w:lineRule="auto"/>
              <w:jc w:val="right"/>
            </w:pPr>
            <w:r>
              <w:rPr>
                <w:sz w:val="18"/>
              </w:rPr>
              <w:t>2.520,00</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bl>
    <w:p w:rsidR="004E7640" w:rsidRDefault="004E7640">
      <w:pPr>
        <w:spacing w:after="0"/>
      </w:pPr>
    </w:p>
    <w:p w:rsidR="004E7640" w:rsidRDefault="00086EE0" w:rsidP="006F4401">
      <w:pPr>
        <w:jc w:val="both"/>
      </w:pPr>
      <w:r>
        <w:t>U izvještajnom razdoblju prethodne godine nismo bili u obvezi plaćanja naknade zbog nezapošlj</w:t>
      </w:r>
      <w:r w:rsidR="006F4401">
        <w:t>a</w:t>
      </w:r>
      <w:r>
        <w:t>vanja osoba s invalid</w:t>
      </w:r>
      <w:r w:rsidR="006F4401">
        <w:t>i</w:t>
      </w:r>
      <w:r>
        <w:t>t</w:t>
      </w:r>
      <w:r w:rsidR="006F4401">
        <w:t>e</w:t>
      </w:r>
      <w:r>
        <w:t>t</w:t>
      </w:r>
      <w:r w:rsidR="006F4401">
        <w:t>o</w:t>
      </w:r>
      <w:r>
        <w:t>m zbog pretplate radi ranijeg zapošljavanja osobe sa statusom invalida. U ovoj godini u obvezi smo plaćati 2 naknade s obzirom na broj zaposlenih.</w:t>
      </w:r>
    </w:p>
    <w:p w:rsidR="004E7640" w:rsidRDefault="004E7640"/>
    <w:p w:rsidR="004E7640" w:rsidRDefault="00086EE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37221</w:t>
            </w:r>
          </w:p>
        </w:tc>
        <w:tc>
          <w:tcPr>
            <w:tcW w:w="3180" w:type="dxa"/>
            <w:tcMar>
              <w:top w:w="0" w:type="dxa"/>
              <w:bottom w:w="0" w:type="dxa"/>
            </w:tcMar>
            <w:vAlign w:val="center"/>
          </w:tcPr>
          <w:p w:rsidR="004E7640" w:rsidRDefault="00086EE0">
            <w:pPr>
              <w:keepNext/>
              <w:keepLines/>
              <w:spacing w:after="0" w:line="240" w:lineRule="auto"/>
            </w:pPr>
            <w:r>
              <w:rPr>
                <w:sz w:val="18"/>
              </w:rPr>
              <w:t>Sufinanciranje cijene prijevoza</w:t>
            </w:r>
          </w:p>
        </w:tc>
        <w:tc>
          <w:tcPr>
            <w:tcW w:w="700" w:type="dxa"/>
            <w:tcMar>
              <w:top w:w="0" w:type="dxa"/>
              <w:bottom w:w="0" w:type="dxa"/>
            </w:tcMar>
            <w:vAlign w:val="center"/>
          </w:tcPr>
          <w:p w:rsidR="004E7640" w:rsidRDefault="00086EE0">
            <w:pPr>
              <w:keepNext/>
              <w:keepLines/>
              <w:spacing w:after="0" w:line="240" w:lineRule="auto"/>
            </w:pPr>
            <w:r>
              <w:rPr>
                <w:sz w:val="18"/>
              </w:rPr>
              <w:t>37221</w:t>
            </w:r>
          </w:p>
        </w:tc>
        <w:tc>
          <w:tcPr>
            <w:tcW w:w="1860" w:type="dxa"/>
            <w:tcMar>
              <w:top w:w="0" w:type="dxa"/>
              <w:bottom w:w="0" w:type="dxa"/>
            </w:tcMar>
            <w:vAlign w:val="center"/>
          </w:tcPr>
          <w:p w:rsidR="004E7640" w:rsidRDefault="00086EE0">
            <w:pPr>
              <w:keepNext/>
              <w:keepLines/>
              <w:spacing w:after="0" w:line="240" w:lineRule="auto"/>
              <w:jc w:val="right"/>
            </w:pPr>
            <w:r>
              <w:rPr>
                <w:sz w:val="18"/>
              </w:rPr>
              <w:t>147,20</w:t>
            </w:r>
          </w:p>
        </w:tc>
        <w:tc>
          <w:tcPr>
            <w:tcW w:w="1860" w:type="dxa"/>
            <w:tcMar>
              <w:top w:w="0" w:type="dxa"/>
              <w:bottom w:w="0" w:type="dxa"/>
            </w:tcMar>
            <w:vAlign w:val="center"/>
          </w:tcPr>
          <w:p w:rsidR="004E7640" w:rsidRDefault="00086EE0">
            <w:pPr>
              <w:keepNext/>
              <w:keepLines/>
              <w:spacing w:after="0" w:line="240" w:lineRule="auto"/>
              <w:jc w:val="right"/>
            </w:pPr>
            <w:r>
              <w:rPr>
                <w:sz w:val="18"/>
              </w:rPr>
              <w:t>179,20</w:t>
            </w:r>
          </w:p>
        </w:tc>
        <w:tc>
          <w:tcPr>
            <w:tcW w:w="700" w:type="dxa"/>
            <w:tcMar>
              <w:top w:w="0" w:type="dxa"/>
              <w:bottom w:w="0" w:type="dxa"/>
            </w:tcMar>
            <w:vAlign w:val="center"/>
          </w:tcPr>
          <w:p w:rsidR="004E7640" w:rsidRDefault="00086EE0">
            <w:pPr>
              <w:keepNext/>
              <w:keepLines/>
              <w:spacing w:after="0" w:line="240" w:lineRule="auto"/>
              <w:jc w:val="right"/>
            </w:pPr>
            <w:r>
              <w:rPr>
                <w:sz w:val="18"/>
              </w:rPr>
              <w:t>121,7</w:t>
            </w:r>
          </w:p>
        </w:tc>
      </w:tr>
    </w:tbl>
    <w:p w:rsidR="004E7640" w:rsidRDefault="004E7640">
      <w:pPr>
        <w:spacing w:after="0"/>
      </w:pPr>
    </w:p>
    <w:p w:rsidR="004E7640" w:rsidRDefault="00086EE0">
      <w:r>
        <w:t>Sufinanciranje prijevoza učeniku s poteškoćama sukladno Odluci MZOM-a.</w:t>
      </w:r>
    </w:p>
    <w:p w:rsidR="004E7640" w:rsidRDefault="004E7640"/>
    <w:p w:rsidR="004E7640" w:rsidRDefault="00086EE0">
      <w:pPr>
        <w:keepNext/>
        <w:spacing w:line="240" w:lineRule="auto"/>
        <w:jc w:val="center"/>
      </w:pPr>
      <w:r>
        <w:rPr>
          <w:b/>
          <w:sz w:val="28"/>
        </w:rPr>
        <w:t>Izvještaj o obvezama</w:t>
      </w:r>
    </w:p>
    <w:p w:rsidR="004E7640" w:rsidRDefault="00086EE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4E7640">
            <w:pPr>
              <w:keepNext/>
              <w:keepLines/>
              <w:spacing w:after="0" w:line="240" w:lineRule="auto"/>
            </w:pPr>
          </w:p>
        </w:tc>
        <w:tc>
          <w:tcPr>
            <w:tcW w:w="3180" w:type="dxa"/>
            <w:tcMar>
              <w:top w:w="0" w:type="dxa"/>
              <w:bottom w:w="0" w:type="dxa"/>
            </w:tcMar>
            <w:vAlign w:val="center"/>
          </w:tcPr>
          <w:p w:rsidR="004E7640" w:rsidRDefault="00086EE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4E7640" w:rsidRDefault="00086EE0">
            <w:pPr>
              <w:keepNext/>
              <w:keepLines/>
              <w:spacing w:after="0" w:line="240" w:lineRule="auto"/>
            </w:pPr>
            <w:r>
              <w:rPr>
                <w:sz w:val="18"/>
              </w:rPr>
              <w:t>V006</w:t>
            </w:r>
          </w:p>
        </w:tc>
        <w:tc>
          <w:tcPr>
            <w:tcW w:w="1860" w:type="dxa"/>
            <w:tcMar>
              <w:top w:w="0" w:type="dxa"/>
              <w:bottom w:w="0" w:type="dxa"/>
            </w:tcMar>
            <w:vAlign w:val="center"/>
          </w:tcPr>
          <w:p w:rsidR="004E7640" w:rsidRDefault="00086EE0">
            <w:pPr>
              <w:keepNext/>
              <w:keepLines/>
              <w:spacing w:after="0" w:line="240" w:lineRule="auto"/>
              <w:jc w:val="right"/>
            </w:pPr>
            <w:r>
              <w:rPr>
                <w:sz w:val="18"/>
              </w:rPr>
              <w:t>114.646,75</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bl>
    <w:p w:rsidR="004E7640" w:rsidRDefault="004E7640">
      <w:pPr>
        <w:spacing w:after="0"/>
      </w:pPr>
    </w:p>
    <w:p w:rsidR="004E7640" w:rsidRDefault="00086EE0" w:rsidP="006F4401">
      <w:pPr>
        <w:jc w:val="both"/>
      </w:pPr>
      <w:r>
        <w:t>Ukupne  obveze  na dan 30.06.2026. godine iznose 114.646,75 EUR. Najvećim dijelom sadrže obveze za plaće zaposlenika za lipanj 2026. godine iznosa 108.441,72 EUR koje dospijevaju u srpnju 2026. godine. Nadalje odnose se na obveze za materijalne rashode prema računima dobavljača iznosa 5.552,37 EUR, obveze za financijske rashode iznosa 36,34 EUR ,na obaveze između proračunskih korisnika iznosa 616,22 EUR  i na obvezu za nabavu nefinancijske imovine 0,10 EUR. Nastale obveze tijekom 2026. redovno se podmiruju sukladno financijskom planu i s tim je povezana naplata prihoda od nadležnih proračuna za podmirenje obaveza.  Nedospjele obveze najvećim dijelom sadrže plaće i račune dospijeća iza 30.06.2026. i plaćeni su tokom srpnja 2026. godine po već uobičajenoj redovitoj dinamici plaćanja  od strane Osnivača Grada Varaždina i od nadležnog ministarstva MZOM-a.</w:t>
      </w:r>
    </w:p>
    <w:p w:rsidR="004E7640" w:rsidRDefault="004E7640"/>
    <w:p w:rsidR="004E7640" w:rsidRDefault="00086EE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4E7640">
            <w:pPr>
              <w:keepNext/>
              <w:keepLines/>
              <w:spacing w:after="0" w:line="240" w:lineRule="auto"/>
            </w:pPr>
          </w:p>
        </w:tc>
        <w:tc>
          <w:tcPr>
            <w:tcW w:w="3180" w:type="dxa"/>
            <w:tcMar>
              <w:top w:w="0" w:type="dxa"/>
              <w:bottom w:w="0" w:type="dxa"/>
            </w:tcMar>
            <w:vAlign w:val="center"/>
          </w:tcPr>
          <w:p w:rsidR="004E7640" w:rsidRDefault="00086EE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4E7640" w:rsidRDefault="00086EE0">
            <w:pPr>
              <w:keepNext/>
              <w:keepLines/>
              <w:spacing w:after="0" w:line="240" w:lineRule="auto"/>
            </w:pPr>
            <w:r>
              <w:rPr>
                <w:sz w:val="18"/>
              </w:rPr>
              <w:t>V007</w:t>
            </w:r>
          </w:p>
        </w:tc>
        <w:tc>
          <w:tcPr>
            <w:tcW w:w="1860" w:type="dxa"/>
            <w:tcMar>
              <w:top w:w="0" w:type="dxa"/>
              <w:bottom w:w="0" w:type="dxa"/>
            </w:tcMar>
            <w:vAlign w:val="center"/>
          </w:tcPr>
          <w:p w:rsidR="004E7640" w:rsidRDefault="00086EE0">
            <w:pPr>
              <w:keepNext/>
              <w:keepLines/>
              <w:spacing w:after="0" w:line="240" w:lineRule="auto"/>
              <w:jc w:val="right"/>
            </w:pPr>
            <w:r>
              <w:rPr>
                <w:sz w:val="18"/>
              </w:rPr>
              <w:t>1.074,44</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bl>
    <w:p w:rsidR="004E7640" w:rsidRDefault="004E7640">
      <w:pPr>
        <w:spacing w:after="0"/>
      </w:pPr>
    </w:p>
    <w:p w:rsidR="004E7640" w:rsidRDefault="00086EE0" w:rsidP="006F4401">
      <w:pPr>
        <w:jc w:val="both"/>
      </w:pPr>
      <w:r>
        <w:t>Dospjele obaveze za rashode poslovanja iznose 1.074,44 ( dio 23 + dio 24)  a nedospjele obaveze za rashode poslovanja iznose 112.956,09 EUR (23) i obveze za povrat u proračun za bolovanje HZZO 616,22 EUR.</w:t>
      </w:r>
    </w:p>
    <w:p w:rsidR="004E7640" w:rsidRDefault="00086EE0" w:rsidP="006F4401">
      <w:pPr>
        <w:jc w:val="both"/>
      </w:pPr>
      <w:r>
        <w:t xml:space="preserve">Dospjele obveze 1.074,44 EUR   odnosi se na neplaćene račune čije je dospijeće 30.06.2026. Radi se o  računima koji su pristigli početkom srpnja sa dospijećem 30.06. te se nisu stigle </w:t>
      </w:r>
      <w:proofErr w:type="spellStart"/>
      <w:r>
        <w:t>i</w:t>
      </w:r>
      <w:r w:rsidR="006F4401">
        <w:t>s</w:t>
      </w:r>
      <w:r>
        <w:t>poštovati</w:t>
      </w:r>
      <w:proofErr w:type="spellEnd"/>
      <w:r>
        <w:t xml:space="preserve"> sve procedure naplate prema osnivaču. Svi računi plaćeni su početkom srpnja. Iznos 1.0074,34 EUR je dospjela obveza za materijalne rashode i 0,10 EUR iz prethodnih razdoblja po PST.</w:t>
      </w:r>
    </w:p>
    <w:p w:rsidR="004E7640" w:rsidRDefault="00086EE0" w:rsidP="006F4401">
      <w:pPr>
        <w:jc w:val="both"/>
      </w:pPr>
      <w:r>
        <w:t>Ukupne  obveze  do 30.06.2026. godine iznose 114.646,75 EUR. Najvećim dijelom sadrže obveze za plaće zaposlenika za lipanj 2026. godine iznosa 105.902,39 EUR koje su isplaćene u  razdoblju 09.-14. srpnja 2026. godine. Nadalje odnose se na obveze za materijalne rashode iznosa 8.091,70 EUR, obveze za financijske rashode iznosa 36,34 EUR ,na obaveze između proračunskih korisnika iznosa 616,22 EUR  i na obvezu za nabavu nefinancijske imovine po PST 0,10 EUR. Nastale obveze u ovom obračunskom razdoblju redovito se podmiruju sukladno financijskom planu i s tim je povezana naplata prihoda od nadležnih proračuna.  Nedospjele obveze najvećim dijelom sadrže plaće i račune dospijeća nakon 30.06.2026. Napomenuli bi da su sve obveze, dospjele i nedospjele, podmirene do datuma 15.07.2026. godine po uobičajenoj redovitoj dinamici plaćanja od strane Osnivača Grada Varaždina i nadležnog ministarstva MZOM-a.</w:t>
      </w:r>
    </w:p>
    <w:p w:rsidR="004E7640" w:rsidRDefault="004E7640"/>
    <w:p w:rsidR="004E7640" w:rsidRDefault="00086EE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23</w:t>
            </w:r>
          </w:p>
        </w:tc>
        <w:tc>
          <w:tcPr>
            <w:tcW w:w="3180" w:type="dxa"/>
            <w:tcMar>
              <w:top w:w="0" w:type="dxa"/>
              <w:bottom w:w="0" w:type="dxa"/>
            </w:tcMar>
            <w:vAlign w:val="center"/>
          </w:tcPr>
          <w:p w:rsidR="004E7640" w:rsidRDefault="00086EE0">
            <w:pPr>
              <w:keepNext/>
              <w:keepLines/>
              <w:spacing w:after="0" w:line="240" w:lineRule="auto"/>
            </w:pPr>
            <w:r>
              <w:rPr>
                <w:sz w:val="18"/>
              </w:rPr>
              <w:t>Ukupno obveze za rashode poslovanja (šifre D231+D232+D234+D235+D236+D237+D 238+D239)</w:t>
            </w:r>
          </w:p>
        </w:tc>
        <w:tc>
          <w:tcPr>
            <w:tcW w:w="700" w:type="dxa"/>
            <w:tcMar>
              <w:top w:w="0" w:type="dxa"/>
              <w:bottom w:w="0" w:type="dxa"/>
            </w:tcMar>
            <w:vAlign w:val="center"/>
          </w:tcPr>
          <w:p w:rsidR="004E7640" w:rsidRDefault="00086EE0">
            <w:pPr>
              <w:keepNext/>
              <w:keepLines/>
              <w:spacing w:after="0" w:line="240" w:lineRule="auto"/>
            </w:pPr>
            <w:r>
              <w:rPr>
                <w:sz w:val="18"/>
              </w:rPr>
              <w:t>D23</w:t>
            </w:r>
          </w:p>
        </w:tc>
        <w:tc>
          <w:tcPr>
            <w:tcW w:w="1860" w:type="dxa"/>
            <w:tcMar>
              <w:top w:w="0" w:type="dxa"/>
              <w:bottom w:w="0" w:type="dxa"/>
            </w:tcMar>
            <w:vAlign w:val="center"/>
          </w:tcPr>
          <w:p w:rsidR="004E7640" w:rsidRDefault="00086EE0">
            <w:pPr>
              <w:keepNext/>
              <w:keepLines/>
              <w:spacing w:after="0" w:line="240" w:lineRule="auto"/>
              <w:jc w:val="right"/>
            </w:pPr>
            <w:r>
              <w:rPr>
                <w:sz w:val="18"/>
              </w:rPr>
              <w:t>1.074,34</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bl>
    <w:p w:rsidR="004E7640" w:rsidRDefault="004E7640">
      <w:pPr>
        <w:spacing w:after="0"/>
      </w:pPr>
    </w:p>
    <w:p w:rsidR="004E7640" w:rsidRDefault="00086EE0" w:rsidP="006F4401">
      <w:pPr>
        <w:jc w:val="both"/>
      </w:pPr>
      <w:r>
        <w:t xml:space="preserve">Dospjele obveze 1.074,34 EUR   odnosi se na neplaćene račune čije je dospijeće 30.06.2026. Radi se o  računima koji su pristigli početkom srpnja sa dospijećem 30.06. te se nisu stigle </w:t>
      </w:r>
      <w:proofErr w:type="spellStart"/>
      <w:r>
        <w:t>ispoštovati</w:t>
      </w:r>
      <w:proofErr w:type="spellEnd"/>
      <w:r>
        <w:t xml:space="preserve"> sve procedure naplate prema osnivaču. Svi računi plaćeni su početkom srpnja.</w:t>
      </w:r>
    </w:p>
    <w:p w:rsidR="004E7640" w:rsidRDefault="004E7640"/>
    <w:p w:rsidR="004E7640" w:rsidRDefault="00086EE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4E7640">
            <w:pPr>
              <w:keepNext/>
              <w:keepLines/>
              <w:spacing w:after="0" w:line="240" w:lineRule="auto"/>
            </w:pPr>
          </w:p>
        </w:tc>
        <w:tc>
          <w:tcPr>
            <w:tcW w:w="3180" w:type="dxa"/>
            <w:tcMar>
              <w:top w:w="0" w:type="dxa"/>
              <w:bottom w:w="0" w:type="dxa"/>
            </w:tcMar>
            <w:vAlign w:val="center"/>
          </w:tcPr>
          <w:p w:rsidR="004E7640" w:rsidRDefault="00086EE0">
            <w:pPr>
              <w:keepNext/>
              <w:keepLines/>
              <w:spacing w:after="0" w:line="240" w:lineRule="auto"/>
            </w:pPr>
            <w:r>
              <w:rPr>
                <w:sz w:val="18"/>
              </w:rPr>
              <w:t>d) Prekoračenje preko 360 dana</w:t>
            </w:r>
          </w:p>
        </w:tc>
        <w:tc>
          <w:tcPr>
            <w:tcW w:w="700" w:type="dxa"/>
            <w:tcMar>
              <w:top w:w="0" w:type="dxa"/>
              <w:bottom w:w="0" w:type="dxa"/>
            </w:tcMar>
            <w:vAlign w:val="center"/>
          </w:tcPr>
          <w:p w:rsidR="004E7640" w:rsidRDefault="00086EE0">
            <w:pPr>
              <w:keepNext/>
              <w:keepLines/>
              <w:spacing w:after="0" w:line="240" w:lineRule="auto"/>
            </w:pPr>
            <w:r>
              <w:rPr>
                <w:sz w:val="18"/>
              </w:rPr>
              <w:t>D24D</w:t>
            </w:r>
          </w:p>
        </w:tc>
        <w:tc>
          <w:tcPr>
            <w:tcW w:w="1860" w:type="dxa"/>
            <w:tcMar>
              <w:top w:w="0" w:type="dxa"/>
              <w:bottom w:w="0" w:type="dxa"/>
            </w:tcMar>
            <w:vAlign w:val="center"/>
          </w:tcPr>
          <w:p w:rsidR="004E7640" w:rsidRDefault="00086EE0">
            <w:pPr>
              <w:keepNext/>
              <w:keepLines/>
              <w:spacing w:after="0" w:line="240" w:lineRule="auto"/>
              <w:jc w:val="right"/>
            </w:pPr>
            <w:r>
              <w:rPr>
                <w:sz w:val="18"/>
              </w:rPr>
              <w:t>0,10</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bl>
    <w:p w:rsidR="004E7640" w:rsidRDefault="004E7640">
      <w:pPr>
        <w:spacing w:after="0"/>
      </w:pPr>
    </w:p>
    <w:p w:rsidR="004E7640" w:rsidRDefault="00086EE0">
      <w:r>
        <w:lastRenderedPageBreak/>
        <w:t>Iznos 0,10 EUR je dospjela obveza iz prethodnih razdoblja po početnom stanju.</w:t>
      </w:r>
    </w:p>
    <w:p w:rsidR="004E7640" w:rsidRDefault="004E7640"/>
    <w:p w:rsidR="004E7640" w:rsidRDefault="00086EE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4E7640">
            <w:pPr>
              <w:keepNext/>
              <w:keepLines/>
              <w:spacing w:after="0" w:line="240" w:lineRule="auto"/>
            </w:pPr>
          </w:p>
        </w:tc>
        <w:tc>
          <w:tcPr>
            <w:tcW w:w="3180" w:type="dxa"/>
            <w:tcMar>
              <w:top w:w="0" w:type="dxa"/>
              <w:bottom w:w="0" w:type="dxa"/>
            </w:tcMar>
            <w:vAlign w:val="center"/>
          </w:tcPr>
          <w:p w:rsidR="004E7640" w:rsidRDefault="00086EE0">
            <w:pPr>
              <w:keepNext/>
              <w:keepLines/>
              <w:spacing w:after="0" w:line="240" w:lineRule="auto"/>
            </w:pPr>
            <w:r>
              <w:rPr>
                <w:sz w:val="18"/>
              </w:rPr>
              <w:t>Međusobne obveze subjekata općeg proračuna</w:t>
            </w:r>
          </w:p>
        </w:tc>
        <w:tc>
          <w:tcPr>
            <w:tcW w:w="700" w:type="dxa"/>
            <w:tcMar>
              <w:top w:w="0" w:type="dxa"/>
              <w:bottom w:w="0" w:type="dxa"/>
            </w:tcMar>
            <w:vAlign w:val="center"/>
          </w:tcPr>
          <w:p w:rsidR="004E7640" w:rsidRDefault="00086EE0">
            <w:pPr>
              <w:keepNext/>
              <w:keepLines/>
              <w:spacing w:after="0" w:line="240" w:lineRule="auto"/>
            </w:pPr>
            <w:r>
              <w:rPr>
                <w:sz w:val="18"/>
              </w:rPr>
              <w:t>V010</w:t>
            </w:r>
          </w:p>
        </w:tc>
        <w:tc>
          <w:tcPr>
            <w:tcW w:w="1860" w:type="dxa"/>
            <w:tcMar>
              <w:top w:w="0" w:type="dxa"/>
              <w:bottom w:w="0" w:type="dxa"/>
            </w:tcMar>
            <w:vAlign w:val="center"/>
          </w:tcPr>
          <w:p w:rsidR="004E7640" w:rsidRDefault="00086EE0">
            <w:pPr>
              <w:keepNext/>
              <w:keepLines/>
              <w:spacing w:after="0" w:line="240" w:lineRule="auto"/>
              <w:jc w:val="right"/>
            </w:pPr>
            <w:r>
              <w:rPr>
                <w:sz w:val="18"/>
              </w:rPr>
              <w:t>616,22</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bl>
    <w:p w:rsidR="004E7640" w:rsidRDefault="004E7640">
      <w:pPr>
        <w:spacing w:after="0"/>
      </w:pPr>
    </w:p>
    <w:p w:rsidR="004E7640" w:rsidRDefault="00086EE0" w:rsidP="006F4401">
      <w:pPr>
        <w:jc w:val="both"/>
      </w:pPr>
      <w:r>
        <w:t>Preostale obveze s osnova refundacije bolovanja na teret HZZO  su nedospjele i na dan 30.06. 2026. godine iznose 616,22 EUR. Obaveze su usklađene i zatvorene prema obavijestima MZOM-a o izvršenim refundacijama.</w:t>
      </w:r>
    </w:p>
    <w:p w:rsidR="004E7640" w:rsidRDefault="004E7640"/>
    <w:p w:rsidR="004E7640" w:rsidRDefault="00086EE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E7640">
        <w:trPr>
          <w:cantSplit/>
        </w:trPr>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E7640" w:rsidRDefault="00086EE0">
            <w:pPr>
              <w:keepNext/>
              <w:keepLines/>
              <w:spacing w:after="0" w:line="240" w:lineRule="auto"/>
              <w:jc w:val="center"/>
            </w:pPr>
            <w:r>
              <w:rPr>
                <w:b/>
                <w:sz w:val="18"/>
              </w:rPr>
              <w:t>Indeks (%)</w:t>
            </w:r>
          </w:p>
        </w:tc>
      </w:tr>
      <w:tr w:rsidR="004E7640">
        <w:trPr>
          <w:cantSplit/>
          <w:trHeight w:val="560"/>
        </w:trPr>
        <w:tc>
          <w:tcPr>
            <w:tcW w:w="700" w:type="dxa"/>
            <w:tcMar>
              <w:top w:w="0" w:type="dxa"/>
              <w:bottom w:w="0" w:type="dxa"/>
            </w:tcMar>
            <w:vAlign w:val="center"/>
          </w:tcPr>
          <w:p w:rsidR="004E7640" w:rsidRDefault="00086EE0">
            <w:pPr>
              <w:keepNext/>
              <w:keepLines/>
              <w:spacing w:after="0" w:line="240" w:lineRule="auto"/>
            </w:pPr>
            <w:r>
              <w:rPr>
                <w:sz w:val="18"/>
              </w:rPr>
              <w:t>23</w:t>
            </w:r>
          </w:p>
        </w:tc>
        <w:tc>
          <w:tcPr>
            <w:tcW w:w="3180" w:type="dxa"/>
            <w:tcMar>
              <w:top w:w="0" w:type="dxa"/>
              <w:bottom w:w="0" w:type="dxa"/>
            </w:tcMar>
            <w:vAlign w:val="center"/>
          </w:tcPr>
          <w:p w:rsidR="004E7640" w:rsidRDefault="00086EE0">
            <w:pPr>
              <w:keepNext/>
              <w:keepLines/>
              <w:spacing w:after="0" w:line="240" w:lineRule="auto"/>
            </w:pPr>
            <w:r>
              <w:rPr>
                <w:sz w:val="18"/>
              </w:rPr>
              <w:t>Obveze za rashode poslovanja</w:t>
            </w:r>
          </w:p>
        </w:tc>
        <w:tc>
          <w:tcPr>
            <w:tcW w:w="700" w:type="dxa"/>
            <w:tcMar>
              <w:top w:w="0" w:type="dxa"/>
              <w:bottom w:w="0" w:type="dxa"/>
            </w:tcMar>
            <w:vAlign w:val="center"/>
          </w:tcPr>
          <w:p w:rsidR="004E7640" w:rsidRDefault="00086EE0">
            <w:pPr>
              <w:keepNext/>
              <w:keepLines/>
              <w:spacing w:after="0" w:line="240" w:lineRule="auto"/>
            </w:pPr>
            <w:r>
              <w:rPr>
                <w:sz w:val="18"/>
              </w:rPr>
              <w:t>ND23</w:t>
            </w:r>
          </w:p>
        </w:tc>
        <w:tc>
          <w:tcPr>
            <w:tcW w:w="1860" w:type="dxa"/>
            <w:tcMar>
              <w:top w:w="0" w:type="dxa"/>
              <w:bottom w:w="0" w:type="dxa"/>
            </w:tcMar>
            <w:vAlign w:val="center"/>
          </w:tcPr>
          <w:p w:rsidR="004E7640" w:rsidRDefault="00086EE0">
            <w:pPr>
              <w:keepNext/>
              <w:keepLines/>
              <w:spacing w:after="0" w:line="240" w:lineRule="auto"/>
              <w:jc w:val="right"/>
            </w:pPr>
            <w:r>
              <w:rPr>
                <w:sz w:val="18"/>
              </w:rPr>
              <w:t>112.956,09</w:t>
            </w:r>
          </w:p>
        </w:tc>
        <w:tc>
          <w:tcPr>
            <w:tcW w:w="700" w:type="dxa"/>
            <w:tcMar>
              <w:top w:w="0" w:type="dxa"/>
              <w:bottom w:w="0" w:type="dxa"/>
            </w:tcMar>
            <w:vAlign w:val="center"/>
          </w:tcPr>
          <w:p w:rsidR="004E7640" w:rsidRDefault="00086EE0">
            <w:pPr>
              <w:keepNext/>
              <w:keepLines/>
              <w:spacing w:after="0" w:line="240" w:lineRule="auto"/>
              <w:jc w:val="right"/>
            </w:pPr>
            <w:r>
              <w:rPr>
                <w:sz w:val="18"/>
              </w:rPr>
              <w:t>-</w:t>
            </w:r>
          </w:p>
        </w:tc>
      </w:tr>
    </w:tbl>
    <w:p w:rsidR="004E7640" w:rsidRDefault="004E7640">
      <w:pPr>
        <w:spacing w:after="0"/>
      </w:pPr>
    </w:p>
    <w:p w:rsidR="004E7640" w:rsidRDefault="00086EE0" w:rsidP="006F4401">
      <w:pPr>
        <w:jc w:val="both"/>
      </w:pPr>
      <w:r>
        <w:t>Nedospjele obveze najvećim dijelom sadrže plaće za lipanj 2026. godine i račune za rashode ostvar</w:t>
      </w:r>
      <w:r w:rsidR="006F4401">
        <w:t>e</w:t>
      </w:r>
      <w:r>
        <w:t>ne u ovom izvještajnom razdoblju sa dospijećem računa iza 30.06.2026. godine. Računi su plaćeni početkom srpnja po već uobičajenoj redovitoj dinamici plaćanja od strane Osnivača Grada Varaždina i od nadležnog ministarstva MZOM-a.</w:t>
      </w:r>
    </w:p>
    <w:p w:rsidR="004E7640" w:rsidRDefault="004E7640"/>
    <w:sectPr w:rsidR="004E7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40"/>
    <w:rsid w:val="00086EE0"/>
    <w:rsid w:val="004E7640"/>
    <w:rsid w:val="006F4401"/>
    <w:rsid w:val="007B00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CB81F-89A0-409A-8BC1-F3F760A0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3391</Words>
  <Characters>19329</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2026-07-16T08:57:00Z</dcterms:created>
  <dcterms:modified xsi:type="dcterms:W3CDTF">2026-07-16T08:57:00Z</dcterms:modified>
</cp:coreProperties>
</file>