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276D9">
        <w:trPr>
          <w:tblCellSpacing w:w="60" w:type="dxa"/>
        </w:trPr>
        <w:tc>
          <w:tcPr>
            <w:tcW w:w="1200" w:type="pct"/>
            <w:shd w:val="clear" w:color="auto" w:fill="E7F0F9"/>
          </w:tcPr>
          <w:p w:rsidR="00A276D9" w:rsidRDefault="00D44536">
            <w:pPr>
              <w:spacing w:after="0" w:line="240" w:lineRule="auto"/>
            </w:pPr>
            <w:bookmarkStart w:id="0" w:name="_GoBack"/>
            <w:bookmarkEnd w:id="0"/>
            <w:r>
              <w:rPr>
                <w:b/>
              </w:rPr>
              <w:t>RKP broj</w:t>
            </w:r>
          </w:p>
        </w:tc>
        <w:tc>
          <w:tcPr>
            <w:tcW w:w="0" w:type="auto"/>
            <w:shd w:val="clear" w:color="auto" w:fill="E7F0F9"/>
          </w:tcPr>
          <w:p w:rsidR="00A276D9" w:rsidRDefault="00D44536">
            <w:pPr>
              <w:spacing w:after="0" w:line="240" w:lineRule="auto"/>
            </w:pPr>
            <w:r>
              <w:t>14058</w:t>
            </w:r>
          </w:p>
        </w:tc>
      </w:tr>
      <w:tr w:rsidR="00A276D9">
        <w:trPr>
          <w:tblCellSpacing w:w="60" w:type="dxa"/>
        </w:trPr>
        <w:tc>
          <w:tcPr>
            <w:tcW w:w="1200" w:type="pct"/>
            <w:shd w:val="clear" w:color="auto" w:fill="E7F0F9"/>
          </w:tcPr>
          <w:p w:rsidR="00A276D9" w:rsidRDefault="00D44536">
            <w:pPr>
              <w:spacing w:after="0" w:line="240" w:lineRule="auto"/>
            </w:pPr>
            <w:r>
              <w:rPr>
                <w:b/>
              </w:rPr>
              <w:t>Naziv obveznika</w:t>
            </w:r>
          </w:p>
        </w:tc>
        <w:tc>
          <w:tcPr>
            <w:tcW w:w="0" w:type="auto"/>
            <w:shd w:val="clear" w:color="auto" w:fill="E7F0F9"/>
          </w:tcPr>
          <w:p w:rsidR="00A276D9" w:rsidRDefault="00D44536">
            <w:pPr>
              <w:spacing w:after="0" w:line="240" w:lineRule="auto"/>
            </w:pPr>
            <w:r>
              <w:t>VII. O.Š. VARAŽDIN</w:t>
            </w:r>
          </w:p>
        </w:tc>
      </w:tr>
      <w:tr w:rsidR="00A276D9">
        <w:trPr>
          <w:tblCellSpacing w:w="60" w:type="dxa"/>
        </w:trPr>
        <w:tc>
          <w:tcPr>
            <w:tcW w:w="1200" w:type="pct"/>
            <w:shd w:val="clear" w:color="auto" w:fill="E7F0F9"/>
          </w:tcPr>
          <w:p w:rsidR="00A276D9" w:rsidRDefault="00D44536">
            <w:pPr>
              <w:spacing w:after="0" w:line="240" w:lineRule="auto"/>
            </w:pPr>
            <w:r>
              <w:rPr>
                <w:b/>
              </w:rPr>
              <w:t>Razina</w:t>
            </w:r>
          </w:p>
        </w:tc>
        <w:tc>
          <w:tcPr>
            <w:tcW w:w="0" w:type="auto"/>
            <w:shd w:val="clear" w:color="auto" w:fill="E7F0F9"/>
          </w:tcPr>
          <w:p w:rsidR="00A276D9" w:rsidRDefault="00D44536">
            <w:pPr>
              <w:spacing w:after="0" w:line="240" w:lineRule="auto"/>
            </w:pPr>
            <w:r>
              <w:t>31</w:t>
            </w:r>
          </w:p>
        </w:tc>
      </w:tr>
    </w:tbl>
    <w:p w:rsidR="00A276D9" w:rsidRDefault="00D44536">
      <w:r>
        <w:br/>
      </w:r>
    </w:p>
    <w:p w:rsidR="00A276D9" w:rsidRDefault="00D44536">
      <w:pPr>
        <w:spacing w:line="240" w:lineRule="auto"/>
        <w:jc w:val="center"/>
      </w:pPr>
      <w:r>
        <w:rPr>
          <w:b/>
          <w:sz w:val="28"/>
        </w:rPr>
        <w:t>BILJEŠKE UZ FINANCIJSKE IZVJEŠTAJE</w:t>
      </w:r>
    </w:p>
    <w:p w:rsidR="00A276D9" w:rsidRDefault="00D44536">
      <w:pPr>
        <w:spacing w:line="240" w:lineRule="auto"/>
        <w:jc w:val="center"/>
      </w:pPr>
      <w:r>
        <w:rPr>
          <w:b/>
          <w:sz w:val="28"/>
        </w:rPr>
        <w:t>ZA RAZDOBLJE</w:t>
      </w:r>
    </w:p>
    <w:p w:rsidR="00A276D9" w:rsidRDefault="00D44536">
      <w:pPr>
        <w:spacing w:line="240" w:lineRule="auto"/>
        <w:jc w:val="center"/>
      </w:pPr>
      <w:r>
        <w:rPr>
          <w:b/>
          <w:sz w:val="28"/>
        </w:rPr>
        <w:t>I - III 2026.</w:t>
      </w:r>
    </w:p>
    <w:p w:rsidR="00A276D9" w:rsidRDefault="00A276D9"/>
    <w:p w:rsidR="00A276D9" w:rsidRDefault="00D44536">
      <w:pPr>
        <w:keepNext/>
        <w:spacing w:line="240" w:lineRule="auto"/>
        <w:jc w:val="center"/>
      </w:pPr>
      <w:r>
        <w:rPr>
          <w:b/>
          <w:sz w:val="28"/>
        </w:rPr>
        <w:t>Izvještaj o prihodima i rashodima, primicima i izdacima</w:t>
      </w:r>
    </w:p>
    <w:p w:rsidR="00A276D9" w:rsidRDefault="00D44536">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w:t>
            </w:r>
          </w:p>
        </w:tc>
        <w:tc>
          <w:tcPr>
            <w:tcW w:w="3180" w:type="dxa"/>
            <w:tcMar>
              <w:top w:w="0" w:type="dxa"/>
              <w:bottom w:w="0" w:type="dxa"/>
            </w:tcMar>
            <w:vAlign w:val="center"/>
          </w:tcPr>
          <w:p w:rsidR="00A276D9" w:rsidRDefault="00D44536">
            <w:pPr>
              <w:keepNext/>
              <w:keepLines/>
              <w:spacing w:after="0" w:line="240" w:lineRule="auto"/>
            </w:pPr>
            <w:r>
              <w:rPr>
                <w:sz w:val="18"/>
              </w:rPr>
              <w:t>PRIHODI POSLOVANJA (šifre 61+62+63+64+65+66+67+68)</w:t>
            </w:r>
          </w:p>
        </w:tc>
        <w:tc>
          <w:tcPr>
            <w:tcW w:w="700" w:type="dxa"/>
            <w:tcMar>
              <w:top w:w="0" w:type="dxa"/>
              <w:bottom w:w="0" w:type="dxa"/>
            </w:tcMar>
            <w:vAlign w:val="center"/>
          </w:tcPr>
          <w:p w:rsidR="00A276D9" w:rsidRDefault="00D44536">
            <w:pPr>
              <w:keepNext/>
              <w:keepLines/>
              <w:spacing w:after="0" w:line="240" w:lineRule="auto"/>
            </w:pPr>
            <w:r>
              <w:rPr>
                <w:sz w:val="18"/>
              </w:rPr>
              <w:t>6</w:t>
            </w:r>
          </w:p>
        </w:tc>
        <w:tc>
          <w:tcPr>
            <w:tcW w:w="1860" w:type="dxa"/>
            <w:tcMar>
              <w:top w:w="0" w:type="dxa"/>
              <w:bottom w:w="0" w:type="dxa"/>
            </w:tcMar>
            <w:vAlign w:val="center"/>
          </w:tcPr>
          <w:p w:rsidR="00A276D9" w:rsidRDefault="00D44536">
            <w:pPr>
              <w:keepNext/>
              <w:keepLines/>
              <w:spacing w:after="0" w:line="240" w:lineRule="auto"/>
              <w:jc w:val="right"/>
            </w:pPr>
            <w:r>
              <w:rPr>
                <w:sz w:val="18"/>
              </w:rPr>
              <w:t>365.922,71</w:t>
            </w:r>
          </w:p>
        </w:tc>
        <w:tc>
          <w:tcPr>
            <w:tcW w:w="1860" w:type="dxa"/>
            <w:tcMar>
              <w:top w:w="0" w:type="dxa"/>
              <w:bottom w:w="0" w:type="dxa"/>
            </w:tcMar>
            <w:vAlign w:val="center"/>
          </w:tcPr>
          <w:p w:rsidR="00A276D9" w:rsidRDefault="00D44536">
            <w:pPr>
              <w:keepNext/>
              <w:keepLines/>
              <w:spacing w:after="0" w:line="240" w:lineRule="auto"/>
              <w:jc w:val="right"/>
            </w:pPr>
            <w:r>
              <w:rPr>
                <w:sz w:val="18"/>
              </w:rPr>
              <w:t>434.734,79</w:t>
            </w:r>
          </w:p>
        </w:tc>
        <w:tc>
          <w:tcPr>
            <w:tcW w:w="700" w:type="dxa"/>
            <w:tcMar>
              <w:top w:w="0" w:type="dxa"/>
              <w:bottom w:w="0" w:type="dxa"/>
            </w:tcMar>
            <w:vAlign w:val="center"/>
          </w:tcPr>
          <w:p w:rsidR="00A276D9" w:rsidRDefault="00D44536">
            <w:pPr>
              <w:keepNext/>
              <w:keepLines/>
              <w:spacing w:after="0" w:line="240" w:lineRule="auto"/>
              <w:jc w:val="right"/>
            </w:pPr>
            <w:r>
              <w:rPr>
                <w:sz w:val="18"/>
              </w:rPr>
              <w:t>118,8</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w:t>
            </w:r>
          </w:p>
        </w:tc>
        <w:tc>
          <w:tcPr>
            <w:tcW w:w="3180" w:type="dxa"/>
            <w:tcMar>
              <w:top w:w="0" w:type="dxa"/>
              <w:bottom w:w="0" w:type="dxa"/>
            </w:tcMar>
            <w:vAlign w:val="center"/>
          </w:tcPr>
          <w:p w:rsidR="00A276D9" w:rsidRDefault="00D44536">
            <w:pPr>
              <w:keepNext/>
              <w:keepLines/>
              <w:spacing w:after="0" w:line="240" w:lineRule="auto"/>
            </w:pPr>
            <w:r>
              <w:rPr>
                <w:sz w:val="18"/>
              </w:rPr>
              <w:t>RASHODI POSLOVANJA (šifre 31+32+34+35+36+37+38)</w:t>
            </w:r>
          </w:p>
        </w:tc>
        <w:tc>
          <w:tcPr>
            <w:tcW w:w="700" w:type="dxa"/>
            <w:tcMar>
              <w:top w:w="0" w:type="dxa"/>
              <w:bottom w:w="0" w:type="dxa"/>
            </w:tcMar>
            <w:vAlign w:val="center"/>
          </w:tcPr>
          <w:p w:rsidR="00A276D9" w:rsidRDefault="00D44536">
            <w:pPr>
              <w:keepNext/>
              <w:keepLines/>
              <w:spacing w:after="0" w:line="240" w:lineRule="auto"/>
            </w:pPr>
            <w:r>
              <w:rPr>
                <w:sz w:val="18"/>
              </w:rPr>
              <w:t>3</w:t>
            </w:r>
          </w:p>
        </w:tc>
        <w:tc>
          <w:tcPr>
            <w:tcW w:w="1860" w:type="dxa"/>
            <w:tcMar>
              <w:top w:w="0" w:type="dxa"/>
              <w:bottom w:w="0" w:type="dxa"/>
            </w:tcMar>
            <w:vAlign w:val="center"/>
          </w:tcPr>
          <w:p w:rsidR="00A276D9" w:rsidRDefault="00D44536">
            <w:pPr>
              <w:keepNext/>
              <w:keepLines/>
              <w:spacing w:after="0" w:line="240" w:lineRule="auto"/>
              <w:jc w:val="right"/>
            </w:pPr>
            <w:r>
              <w:rPr>
                <w:sz w:val="18"/>
              </w:rPr>
              <w:t>453.676,07</w:t>
            </w:r>
          </w:p>
        </w:tc>
        <w:tc>
          <w:tcPr>
            <w:tcW w:w="1860" w:type="dxa"/>
            <w:tcMar>
              <w:top w:w="0" w:type="dxa"/>
              <w:bottom w:w="0" w:type="dxa"/>
            </w:tcMar>
            <w:vAlign w:val="center"/>
          </w:tcPr>
          <w:p w:rsidR="00A276D9" w:rsidRDefault="00D44536">
            <w:pPr>
              <w:keepNext/>
              <w:keepLines/>
              <w:spacing w:after="0" w:line="240" w:lineRule="auto"/>
              <w:jc w:val="right"/>
            </w:pPr>
            <w:r>
              <w:rPr>
                <w:sz w:val="18"/>
              </w:rPr>
              <w:t>394.658,23</w:t>
            </w:r>
          </w:p>
        </w:tc>
        <w:tc>
          <w:tcPr>
            <w:tcW w:w="700" w:type="dxa"/>
            <w:tcMar>
              <w:top w:w="0" w:type="dxa"/>
              <w:bottom w:w="0" w:type="dxa"/>
            </w:tcMar>
            <w:vAlign w:val="center"/>
          </w:tcPr>
          <w:p w:rsidR="00A276D9" w:rsidRDefault="00D44536">
            <w:pPr>
              <w:keepNext/>
              <w:keepLines/>
              <w:spacing w:after="0" w:line="240" w:lineRule="auto"/>
              <w:jc w:val="right"/>
            </w:pPr>
            <w:r>
              <w:rPr>
                <w:sz w:val="18"/>
              </w:rPr>
              <w:t>87,0</w:t>
            </w:r>
          </w:p>
        </w:tc>
      </w:tr>
      <w:tr w:rsidR="00A276D9">
        <w:trPr>
          <w:cantSplit/>
          <w:trHeight w:val="560"/>
        </w:trPr>
        <w:tc>
          <w:tcPr>
            <w:tcW w:w="700" w:type="dxa"/>
            <w:tcMar>
              <w:top w:w="0" w:type="dxa"/>
              <w:bottom w:w="0" w:type="dxa"/>
            </w:tcMar>
            <w:vAlign w:val="center"/>
          </w:tcPr>
          <w:p w:rsidR="00A276D9" w:rsidRDefault="00A276D9">
            <w:pPr>
              <w:keepNext/>
              <w:keepLines/>
              <w:spacing w:after="0" w:line="240" w:lineRule="auto"/>
            </w:pPr>
          </w:p>
        </w:tc>
        <w:tc>
          <w:tcPr>
            <w:tcW w:w="3180" w:type="dxa"/>
            <w:tcMar>
              <w:top w:w="0" w:type="dxa"/>
              <w:bottom w:w="0" w:type="dxa"/>
            </w:tcMar>
            <w:vAlign w:val="center"/>
          </w:tcPr>
          <w:p w:rsidR="00A276D9" w:rsidRDefault="00D44536">
            <w:pPr>
              <w:keepNext/>
              <w:keepLines/>
              <w:spacing w:after="0" w:line="240" w:lineRule="auto"/>
            </w:pPr>
            <w:r>
              <w:rPr>
                <w:b/>
                <w:sz w:val="18"/>
              </w:rPr>
              <w:t>VIŠAK PRIHODA POSLOVANJA (šifre 6-Z005)</w:t>
            </w:r>
          </w:p>
        </w:tc>
        <w:tc>
          <w:tcPr>
            <w:tcW w:w="700" w:type="dxa"/>
            <w:tcMar>
              <w:top w:w="0" w:type="dxa"/>
              <w:bottom w:w="0" w:type="dxa"/>
            </w:tcMar>
            <w:vAlign w:val="center"/>
          </w:tcPr>
          <w:p w:rsidR="00A276D9" w:rsidRDefault="00D44536">
            <w:pPr>
              <w:keepNext/>
              <w:keepLines/>
              <w:spacing w:after="0" w:line="240" w:lineRule="auto"/>
            </w:pPr>
            <w:r>
              <w:rPr>
                <w:b/>
                <w:sz w:val="18"/>
              </w:rPr>
              <w:t>X001</w:t>
            </w:r>
          </w:p>
        </w:tc>
        <w:tc>
          <w:tcPr>
            <w:tcW w:w="1860" w:type="dxa"/>
            <w:tcMar>
              <w:top w:w="0" w:type="dxa"/>
              <w:bottom w:w="0" w:type="dxa"/>
            </w:tcMar>
            <w:vAlign w:val="center"/>
          </w:tcPr>
          <w:p w:rsidR="00A276D9" w:rsidRDefault="00D44536">
            <w:pPr>
              <w:keepNext/>
              <w:keepLines/>
              <w:spacing w:after="0" w:line="240" w:lineRule="auto"/>
              <w:jc w:val="right"/>
            </w:pPr>
            <w:r>
              <w:rPr>
                <w:b/>
                <w:sz w:val="18"/>
              </w:rPr>
              <w:t>0,00</w:t>
            </w:r>
          </w:p>
        </w:tc>
        <w:tc>
          <w:tcPr>
            <w:tcW w:w="1860" w:type="dxa"/>
            <w:tcMar>
              <w:top w:w="0" w:type="dxa"/>
              <w:bottom w:w="0" w:type="dxa"/>
            </w:tcMar>
            <w:vAlign w:val="center"/>
          </w:tcPr>
          <w:p w:rsidR="00A276D9" w:rsidRDefault="00D44536">
            <w:pPr>
              <w:keepNext/>
              <w:keepLines/>
              <w:spacing w:after="0" w:line="240" w:lineRule="auto"/>
              <w:jc w:val="right"/>
            </w:pPr>
            <w:r>
              <w:rPr>
                <w:b/>
                <w:sz w:val="18"/>
              </w:rPr>
              <w:t>40.076,56</w:t>
            </w:r>
          </w:p>
        </w:tc>
        <w:tc>
          <w:tcPr>
            <w:tcW w:w="700" w:type="dxa"/>
            <w:tcMar>
              <w:top w:w="0" w:type="dxa"/>
              <w:bottom w:w="0" w:type="dxa"/>
            </w:tcMar>
            <w:vAlign w:val="center"/>
          </w:tcPr>
          <w:p w:rsidR="00A276D9" w:rsidRDefault="00D44536">
            <w:pPr>
              <w:keepNext/>
              <w:keepLines/>
              <w:spacing w:after="0" w:line="240" w:lineRule="auto"/>
              <w:jc w:val="right"/>
            </w:pPr>
            <w:r>
              <w:rPr>
                <w:b/>
                <w:sz w:val="18"/>
              </w:rPr>
              <w:t>-</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7</w:t>
            </w:r>
          </w:p>
        </w:tc>
        <w:tc>
          <w:tcPr>
            <w:tcW w:w="3180" w:type="dxa"/>
            <w:tcMar>
              <w:top w:w="0" w:type="dxa"/>
              <w:bottom w:w="0" w:type="dxa"/>
            </w:tcMar>
            <w:vAlign w:val="center"/>
          </w:tcPr>
          <w:p w:rsidR="00A276D9" w:rsidRDefault="00D44536">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276D9" w:rsidRDefault="00D44536">
            <w:pPr>
              <w:keepNext/>
              <w:keepLines/>
              <w:spacing w:after="0" w:line="240" w:lineRule="auto"/>
            </w:pPr>
            <w:r>
              <w:rPr>
                <w:sz w:val="18"/>
              </w:rPr>
              <w:t>7</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700" w:type="dxa"/>
            <w:tcMar>
              <w:top w:w="0" w:type="dxa"/>
              <w:bottom w:w="0" w:type="dxa"/>
            </w:tcMar>
            <w:vAlign w:val="center"/>
          </w:tcPr>
          <w:p w:rsidR="00A276D9" w:rsidRDefault="00D44536">
            <w:pPr>
              <w:keepNext/>
              <w:keepLines/>
              <w:spacing w:after="0" w:line="240" w:lineRule="auto"/>
              <w:jc w:val="right"/>
            </w:pPr>
            <w:r>
              <w:rPr>
                <w:sz w:val="18"/>
              </w:rPr>
              <w:t>-</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4</w:t>
            </w:r>
          </w:p>
        </w:tc>
        <w:tc>
          <w:tcPr>
            <w:tcW w:w="3180" w:type="dxa"/>
            <w:tcMar>
              <w:top w:w="0" w:type="dxa"/>
              <w:bottom w:w="0" w:type="dxa"/>
            </w:tcMar>
            <w:vAlign w:val="center"/>
          </w:tcPr>
          <w:p w:rsidR="00A276D9" w:rsidRDefault="00D4453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276D9" w:rsidRDefault="00D44536">
            <w:pPr>
              <w:keepNext/>
              <w:keepLines/>
              <w:spacing w:after="0" w:line="240" w:lineRule="auto"/>
            </w:pPr>
            <w:r>
              <w:rPr>
                <w:sz w:val="18"/>
              </w:rPr>
              <w:t>4</w:t>
            </w:r>
          </w:p>
        </w:tc>
        <w:tc>
          <w:tcPr>
            <w:tcW w:w="1860" w:type="dxa"/>
            <w:tcMar>
              <w:top w:w="0" w:type="dxa"/>
              <w:bottom w:w="0" w:type="dxa"/>
            </w:tcMar>
            <w:vAlign w:val="center"/>
          </w:tcPr>
          <w:p w:rsidR="00A276D9" w:rsidRDefault="00D44536">
            <w:pPr>
              <w:keepNext/>
              <w:keepLines/>
              <w:spacing w:after="0" w:line="240" w:lineRule="auto"/>
              <w:jc w:val="right"/>
            </w:pPr>
            <w:r>
              <w:rPr>
                <w:sz w:val="18"/>
              </w:rPr>
              <w:t>4.305,81</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700" w:type="dxa"/>
            <w:tcMar>
              <w:top w:w="0" w:type="dxa"/>
              <w:bottom w:w="0" w:type="dxa"/>
            </w:tcMar>
            <w:vAlign w:val="center"/>
          </w:tcPr>
          <w:p w:rsidR="00A276D9" w:rsidRDefault="00D44536">
            <w:pPr>
              <w:keepNext/>
              <w:keepLines/>
              <w:spacing w:after="0" w:line="240" w:lineRule="auto"/>
              <w:jc w:val="right"/>
            </w:pPr>
            <w:r>
              <w:rPr>
                <w:sz w:val="18"/>
              </w:rPr>
              <w:t>0</w:t>
            </w:r>
          </w:p>
        </w:tc>
      </w:tr>
      <w:tr w:rsidR="00A276D9">
        <w:trPr>
          <w:cantSplit/>
          <w:trHeight w:val="560"/>
        </w:trPr>
        <w:tc>
          <w:tcPr>
            <w:tcW w:w="700" w:type="dxa"/>
            <w:tcMar>
              <w:top w:w="0" w:type="dxa"/>
              <w:bottom w:w="0" w:type="dxa"/>
            </w:tcMar>
            <w:vAlign w:val="center"/>
          </w:tcPr>
          <w:p w:rsidR="00A276D9" w:rsidRDefault="00A276D9">
            <w:pPr>
              <w:keepNext/>
              <w:keepLines/>
              <w:spacing w:after="0" w:line="240" w:lineRule="auto"/>
            </w:pPr>
          </w:p>
        </w:tc>
        <w:tc>
          <w:tcPr>
            <w:tcW w:w="3180" w:type="dxa"/>
            <w:tcMar>
              <w:top w:w="0" w:type="dxa"/>
              <w:bottom w:w="0" w:type="dxa"/>
            </w:tcMar>
            <w:vAlign w:val="center"/>
          </w:tcPr>
          <w:p w:rsidR="00A276D9" w:rsidRDefault="00D44536">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rsidR="00A276D9" w:rsidRDefault="00D44536">
            <w:pPr>
              <w:keepNext/>
              <w:keepLines/>
              <w:spacing w:after="0" w:line="240" w:lineRule="auto"/>
            </w:pPr>
            <w:r>
              <w:rPr>
                <w:b/>
                <w:sz w:val="18"/>
              </w:rPr>
              <w:t>X002, Y002</w:t>
            </w:r>
          </w:p>
        </w:tc>
        <w:tc>
          <w:tcPr>
            <w:tcW w:w="1860" w:type="dxa"/>
            <w:tcMar>
              <w:top w:w="0" w:type="dxa"/>
              <w:bottom w:w="0" w:type="dxa"/>
            </w:tcMar>
            <w:vAlign w:val="center"/>
          </w:tcPr>
          <w:p w:rsidR="00A276D9" w:rsidRDefault="00D44536">
            <w:pPr>
              <w:keepNext/>
              <w:keepLines/>
              <w:spacing w:after="0" w:line="240" w:lineRule="auto"/>
              <w:jc w:val="right"/>
            </w:pPr>
            <w:r>
              <w:rPr>
                <w:b/>
                <w:sz w:val="18"/>
              </w:rPr>
              <w:t>4.305,81</w:t>
            </w:r>
          </w:p>
        </w:tc>
        <w:tc>
          <w:tcPr>
            <w:tcW w:w="1860" w:type="dxa"/>
            <w:tcMar>
              <w:top w:w="0" w:type="dxa"/>
              <w:bottom w:w="0" w:type="dxa"/>
            </w:tcMar>
            <w:vAlign w:val="center"/>
          </w:tcPr>
          <w:p w:rsidR="00A276D9" w:rsidRDefault="00D44536">
            <w:pPr>
              <w:keepNext/>
              <w:keepLines/>
              <w:spacing w:after="0" w:line="240" w:lineRule="auto"/>
              <w:jc w:val="right"/>
            </w:pPr>
            <w:r>
              <w:rPr>
                <w:b/>
                <w:sz w:val="18"/>
              </w:rPr>
              <w:t>0,00</w:t>
            </w:r>
          </w:p>
        </w:tc>
        <w:tc>
          <w:tcPr>
            <w:tcW w:w="700" w:type="dxa"/>
            <w:tcMar>
              <w:top w:w="0" w:type="dxa"/>
              <w:bottom w:w="0" w:type="dxa"/>
            </w:tcMar>
            <w:vAlign w:val="center"/>
          </w:tcPr>
          <w:p w:rsidR="00A276D9" w:rsidRDefault="00D44536">
            <w:pPr>
              <w:keepNext/>
              <w:keepLines/>
              <w:spacing w:after="0" w:line="240" w:lineRule="auto"/>
              <w:jc w:val="right"/>
            </w:pPr>
            <w:r>
              <w:rPr>
                <w:b/>
                <w:sz w:val="18"/>
              </w:rPr>
              <w:t>0</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8</w:t>
            </w:r>
          </w:p>
        </w:tc>
        <w:tc>
          <w:tcPr>
            <w:tcW w:w="3180" w:type="dxa"/>
            <w:tcMar>
              <w:top w:w="0" w:type="dxa"/>
              <w:bottom w:w="0" w:type="dxa"/>
            </w:tcMar>
            <w:vAlign w:val="center"/>
          </w:tcPr>
          <w:p w:rsidR="00A276D9" w:rsidRDefault="00D4453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276D9" w:rsidRDefault="00D44536">
            <w:pPr>
              <w:keepNext/>
              <w:keepLines/>
              <w:spacing w:after="0" w:line="240" w:lineRule="auto"/>
            </w:pPr>
            <w:r>
              <w:rPr>
                <w:sz w:val="18"/>
              </w:rPr>
              <w:t>8</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700" w:type="dxa"/>
            <w:tcMar>
              <w:top w:w="0" w:type="dxa"/>
              <w:bottom w:w="0" w:type="dxa"/>
            </w:tcMar>
            <w:vAlign w:val="center"/>
          </w:tcPr>
          <w:p w:rsidR="00A276D9" w:rsidRDefault="00D44536">
            <w:pPr>
              <w:keepNext/>
              <w:keepLines/>
              <w:spacing w:after="0" w:line="240" w:lineRule="auto"/>
              <w:jc w:val="right"/>
            </w:pPr>
            <w:r>
              <w:rPr>
                <w:sz w:val="18"/>
              </w:rPr>
              <w:t>-</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5</w:t>
            </w:r>
          </w:p>
        </w:tc>
        <w:tc>
          <w:tcPr>
            <w:tcW w:w="3180" w:type="dxa"/>
            <w:tcMar>
              <w:top w:w="0" w:type="dxa"/>
              <w:bottom w:w="0" w:type="dxa"/>
            </w:tcMar>
            <w:vAlign w:val="center"/>
          </w:tcPr>
          <w:p w:rsidR="00A276D9" w:rsidRDefault="00D44536">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276D9" w:rsidRDefault="00D44536">
            <w:pPr>
              <w:keepNext/>
              <w:keepLines/>
              <w:spacing w:after="0" w:line="240" w:lineRule="auto"/>
            </w:pPr>
            <w:r>
              <w:rPr>
                <w:sz w:val="18"/>
              </w:rPr>
              <w:t>5</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700" w:type="dxa"/>
            <w:tcMar>
              <w:top w:w="0" w:type="dxa"/>
              <w:bottom w:w="0" w:type="dxa"/>
            </w:tcMar>
            <w:vAlign w:val="center"/>
          </w:tcPr>
          <w:p w:rsidR="00A276D9" w:rsidRDefault="00D44536">
            <w:pPr>
              <w:keepNext/>
              <w:keepLines/>
              <w:spacing w:after="0" w:line="240" w:lineRule="auto"/>
              <w:jc w:val="right"/>
            </w:pPr>
            <w:r>
              <w:rPr>
                <w:sz w:val="18"/>
              </w:rPr>
              <w:t>-</w:t>
            </w:r>
          </w:p>
        </w:tc>
      </w:tr>
      <w:tr w:rsidR="00A276D9">
        <w:trPr>
          <w:cantSplit/>
          <w:trHeight w:val="560"/>
        </w:trPr>
        <w:tc>
          <w:tcPr>
            <w:tcW w:w="700" w:type="dxa"/>
            <w:tcMar>
              <w:top w:w="0" w:type="dxa"/>
              <w:bottom w:w="0" w:type="dxa"/>
            </w:tcMar>
            <w:vAlign w:val="center"/>
          </w:tcPr>
          <w:p w:rsidR="00A276D9" w:rsidRDefault="00A276D9">
            <w:pPr>
              <w:keepNext/>
              <w:keepLines/>
              <w:spacing w:after="0" w:line="240" w:lineRule="auto"/>
            </w:pPr>
          </w:p>
        </w:tc>
        <w:tc>
          <w:tcPr>
            <w:tcW w:w="3180" w:type="dxa"/>
            <w:tcMar>
              <w:top w:w="0" w:type="dxa"/>
              <w:bottom w:w="0" w:type="dxa"/>
            </w:tcMar>
            <w:vAlign w:val="center"/>
          </w:tcPr>
          <w:p w:rsidR="00A276D9" w:rsidRDefault="00D44536">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A276D9" w:rsidRDefault="00D44536">
            <w:pPr>
              <w:keepNext/>
              <w:keepLines/>
              <w:spacing w:after="0" w:line="240" w:lineRule="auto"/>
            </w:pPr>
            <w:r>
              <w:rPr>
                <w:b/>
                <w:sz w:val="18"/>
              </w:rPr>
              <w:t>X003, Y003</w:t>
            </w:r>
          </w:p>
        </w:tc>
        <w:tc>
          <w:tcPr>
            <w:tcW w:w="1860" w:type="dxa"/>
            <w:tcMar>
              <w:top w:w="0" w:type="dxa"/>
              <w:bottom w:w="0" w:type="dxa"/>
            </w:tcMar>
            <w:vAlign w:val="center"/>
          </w:tcPr>
          <w:p w:rsidR="00A276D9" w:rsidRDefault="00D44536">
            <w:pPr>
              <w:keepNext/>
              <w:keepLines/>
              <w:spacing w:after="0" w:line="240" w:lineRule="auto"/>
              <w:jc w:val="right"/>
            </w:pPr>
            <w:r>
              <w:rPr>
                <w:b/>
                <w:sz w:val="18"/>
              </w:rPr>
              <w:t>0,00</w:t>
            </w:r>
          </w:p>
        </w:tc>
        <w:tc>
          <w:tcPr>
            <w:tcW w:w="1860" w:type="dxa"/>
            <w:tcMar>
              <w:top w:w="0" w:type="dxa"/>
              <w:bottom w:w="0" w:type="dxa"/>
            </w:tcMar>
            <w:vAlign w:val="center"/>
          </w:tcPr>
          <w:p w:rsidR="00A276D9" w:rsidRDefault="00D44536">
            <w:pPr>
              <w:keepNext/>
              <w:keepLines/>
              <w:spacing w:after="0" w:line="240" w:lineRule="auto"/>
              <w:jc w:val="right"/>
            </w:pPr>
            <w:r>
              <w:rPr>
                <w:b/>
                <w:sz w:val="18"/>
              </w:rPr>
              <w:t>0,00</w:t>
            </w:r>
          </w:p>
        </w:tc>
        <w:tc>
          <w:tcPr>
            <w:tcW w:w="700" w:type="dxa"/>
            <w:tcMar>
              <w:top w:w="0" w:type="dxa"/>
              <w:bottom w:w="0" w:type="dxa"/>
            </w:tcMar>
            <w:vAlign w:val="center"/>
          </w:tcPr>
          <w:p w:rsidR="00A276D9" w:rsidRDefault="00D44536">
            <w:pPr>
              <w:keepNext/>
              <w:keepLines/>
              <w:spacing w:after="0" w:line="240" w:lineRule="auto"/>
              <w:jc w:val="right"/>
            </w:pPr>
            <w:r>
              <w:rPr>
                <w:b/>
                <w:sz w:val="18"/>
              </w:rPr>
              <w:t>-</w:t>
            </w:r>
          </w:p>
        </w:tc>
      </w:tr>
      <w:tr w:rsidR="00A276D9">
        <w:trPr>
          <w:cantSplit/>
          <w:trHeight w:val="560"/>
        </w:trPr>
        <w:tc>
          <w:tcPr>
            <w:tcW w:w="700" w:type="dxa"/>
            <w:tcMar>
              <w:top w:w="0" w:type="dxa"/>
              <w:bottom w:w="0" w:type="dxa"/>
            </w:tcMar>
            <w:vAlign w:val="center"/>
          </w:tcPr>
          <w:p w:rsidR="00A276D9" w:rsidRDefault="00A276D9">
            <w:pPr>
              <w:keepNext/>
              <w:keepLines/>
              <w:spacing w:after="0" w:line="240" w:lineRule="auto"/>
            </w:pPr>
          </w:p>
        </w:tc>
        <w:tc>
          <w:tcPr>
            <w:tcW w:w="3180" w:type="dxa"/>
            <w:tcMar>
              <w:top w:w="0" w:type="dxa"/>
              <w:bottom w:w="0" w:type="dxa"/>
            </w:tcMar>
            <w:vAlign w:val="center"/>
          </w:tcPr>
          <w:p w:rsidR="00A276D9" w:rsidRDefault="00D44536">
            <w:pPr>
              <w:keepNext/>
              <w:keepLines/>
              <w:spacing w:after="0" w:line="240" w:lineRule="auto"/>
            </w:pPr>
            <w:r>
              <w:rPr>
                <w:b/>
                <w:sz w:val="18"/>
              </w:rPr>
              <w:t>VIŠAK PRIHODA I PRIMITAKA (šifre X678-Y345)</w:t>
            </w:r>
          </w:p>
        </w:tc>
        <w:tc>
          <w:tcPr>
            <w:tcW w:w="700" w:type="dxa"/>
            <w:tcMar>
              <w:top w:w="0" w:type="dxa"/>
              <w:bottom w:w="0" w:type="dxa"/>
            </w:tcMar>
            <w:vAlign w:val="center"/>
          </w:tcPr>
          <w:p w:rsidR="00A276D9" w:rsidRDefault="00D44536">
            <w:pPr>
              <w:keepNext/>
              <w:keepLines/>
              <w:spacing w:after="0" w:line="240" w:lineRule="auto"/>
            </w:pPr>
            <w:r>
              <w:rPr>
                <w:b/>
                <w:sz w:val="18"/>
              </w:rPr>
              <w:t>X005</w:t>
            </w:r>
          </w:p>
        </w:tc>
        <w:tc>
          <w:tcPr>
            <w:tcW w:w="1860" w:type="dxa"/>
            <w:tcMar>
              <w:top w:w="0" w:type="dxa"/>
              <w:bottom w:w="0" w:type="dxa"/>
            </w:tcMar>
            <w:vAlign w:val="center"/>
          </w:tcPr>
          <w:p w:rsidR="00A276D9" w:rsidRDefault="00D44536">
            <w:pPr>
              <w:keepNext/>
              <w:keepLines/>
              <w:spacing w:after="0" w:line="240" w:lineRule="auto"/>
              <w:jc w:val="right"/>
            </w:pPr>
            <w:r>
              <w:rPr>
                <w:b/>
                <w:sz w:val="18"/>
              </w:rPr>
              <w:t>0,00</w:t>
            </w:r>
          </w:p>
        </w:tc>
        <w:tc>
          <w:tcPr>
            <w:tcW w:w="1860" w:type="dxa"/>
            <w:tcMar>
              <w:top w:w="0" w:type="dxa"/>
              <w:bottom w:w="0" w:type="dxa"/>
            </w:tcMar>
            <w:vAlign w:val="center"/>
          </w:tcPr>
          <w:p w:rsidR="00A276D9" w:rsidRDefault="00D44536">
            <w:pPr>
              <w:keepNext/>
              <w:keepLines/>
              <w:spacing w:after="0" w:line="240" w:lineRule="auto"/>
              <w:jc w:val="right"/>
            </w:pPr>
            <w:r>
              <w:rPr>
                <w:b/>
                <w:sz w:val="18"/>
              </w:rPr>
              <w:t>40.076,56</w:t>
            </w:r>
          </w:p>
        </w:tc>
        <w:tc>
          <w:tcPr>
            <w:tcW w:w="700" w:type="dxa"/>
            <w:tcMar>
              <w:top w:w="0" w:type="dxa"/>
              <w:bottom w:w="0" w:type="dxa"/>
            </w:tcMar>
            <w:vAlign w:val="center"/>
          </w:tcPr>
          <w:p w:rsidR="00A276D9" w:rsidRDefault="00D44536">
            <w:pPr>
              <w:keepNext/>
              <w:keepLines/>
              <w:spacing w:after="0" w:line="240" w:lineRule="auto"/>
              <w:jc w:val="right"/>
            </w:pPr>
            <w:r>
              <w:rPr>
                <w:b/>
                <w:sz w:val="18"/>
              </w:rPr>
              <w:t>-</w:t>
            </w:r>
          </w:p>
        </w:tc>
      </w:tr>
    </w:tbl>
    <w:p w:rsidR="00A276D9" w:rsidRDefault="00A276D9">
      <w:pPr>
        <w:spacing w:after="0"/>
      </w:pPr>
    </w:p>
    <w:p w:rsidR="00A276D9" w:rsidRDefault="00D44536">
      <w:r>
        <w:t>Ukupni prihodi ostvareni do 31.03.2026. godine iznose 434.734,79 EUR a najveći dio  prihoda čine Tekuće pomoći iz državnog proračuna (63612) iznosa 320.281,05 EUR. Tekuće pomoći iz državnog proračuna sadrže prihode za plaće i materijalna prava zaposlenih, za naknadu zbog nezapošljavanja osoba s invaliditetom, prihode za besplatni topli obrok u školi, prihode za sufina</w:t>
      </w:r>
      <w:r w:rsidR="00EC0C3F">
        <w:t>n</w:t>
      </w:r>
      <w:r>
        <w:t xml:space="preserve">ciranje prijevoza učeniku s poteškoćama te prihod za obilježavanje 100. godišnjice škole. Ostale pomoći 63 iznosa 513,84 EUR odnose se na pomoć  Varaždinske županije za rashode natjecanja iz njemačkog jezika na županijskoj razini. Slijedeća veća </w:t>
      </w:r>
      <w:r>
        <w:lastRenderedPageBreak/>
        <w:t>stavka u strukturi prihoda su prihodi od nadležnog proračuna osnivača škole Grada Varaždina u iznosu 97.073,99 EUR a odnose se na financiranje materijalnih rashoda u iznosu 81.860,54 EUR (6711) i na financiranje rashoda za nabavu nefinancijske imovine u iznosu 15.213,45 EUR (6712). Prihodi od sufinanciranja ručka iznose 15.011,19 EUR (65264). Prihodi od pruženih usluga (zakup dvorane i učionice) iznose 1.854,72 (6615). </w:t>
      </w:r>
    </w:p>
    <w:p w:rsidR="00A276D9" w:rsidRDefault="00D44536">
      <w:r>
        <w:t>Ukupni rashodi ostvareni do 31.03.2026. godine iznose 394.658,23 EUR i najvećim dijelom sadrže rashode za zaposlene (plaće i materijalna prava)-31=321.825,20 EUR, zatim materijalne rashode-32=72.622,86 EUR. Ostali rashodi su financijski rashodi 34=98,17 EUR, naknade građanima tj. sufinanciranje prijevoza 37= 112,00 EUR.</w:t>
      </w:r>
    </w:p>
    <w:p w:rsidR="00A276D9" w:rsidRDefault="00D44536">
      <w:r>
        <w:t>U ovom izvještajnom razdoblju ostvaren je višak prihoda poslovanja nad rashodima u iznosu 40.076,56 EUR. Međutim na referentnoj stranici prikazan je ukupni manjak prihoda za pokriće u sljedećem obračunskom razdoblju u iznosu 91.058,78 EUR 2026. godini što je rezultat pokrića prenesenog manjka prihoda iz 2025. godine u iznosu 131.135,34 EUR s navedenim ostvarenim viškom prihoda poslovanja.</w:t>
      </w:r>
    </w:p>
    <w:p w:rsidR="00A276D9" w:rsidRDefault="00D44536">
      <w:r>
        <w:br/>
      </w:r>
    </w:p>
    <w:p w:rsidR="00A276D9" w:rsidRDefault="00D44536">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6361</w:t>
            </w:r>
          </w:p>
        </w:tc>
        <w:tc>
          <w:tcPr>
            <w:tcW w:w="3180" w:type="dxa"/>
            <w:tcMar>
              <w:top w:w="0" w:type="dxa"/>
              <w:bottom w:w="0" w:type="dxa"/>
            </w:tcMar>
            <w:vAlign w:val="center"/>
          </w:tcPr>
          <w:p w:rsidR="00A276D9" w:rsidRDefault="00D44536">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A276D9" w:rsidRDefault="00D44536">
            <w:pPr>
              <w:keepNext/>
              <w:keepLines/>
              <w:spacing w:after="0" w:line="240" w:lineRule="auto"/>
            </w:pPr>
            <w:r>
              <w:rPr>
                <w:sz w:val="18"/>
              </w:rPr>
              <w:t>6361</w:t>
            </w:r>
          </w:p>
        </w:tc>
        <w:tc>
          <w:tcPr>
            <w:tcW w:w="1860" w:type="dxa"/>
            <w:tcMar>
              <w:top w:w="0" w:type="dxa"/>
              <w:bottom w:w="0" w:type="dxa"/>
            </w:tcMar>
            <w:vAlign w:val="center"/>
          </w:tcPr>
          <w:p w:rsidR="00A276D9" w:rsidRDefault="00D44536">
            <w:pPr>
              <w:keepNext/>
              <w:keepLines/>
              <w:spacing w:after="0" w:line="240" w:lineRule="auto"/>
              <w:jc w:val="right"/>
            </w:pPr>
            <w:r>
              <w:rPr>
                <w:sz w:val="18"/>
              </w:rPr>
              <w:t>281.462,96</w:t>
            </w:r>
          </w:p>
        </w:tc>
        <w:tc>
          <w:tcPr>
            <w:tcW w:w="1860" w:type="dxa"/>
            <w:tcMar>
              <w:top w:w="0" w:type="dxa"/>
              <w:bottom w:w="0" w:type="dxa"/>
            </w:tcMar>
            <w:vAlign w:val="center"/>
          </w:tcPr>
          <w:p w:rsidR="00A276D9" w:rsidRDefault="00D44536">
            <w:pPr>
              <w:keepNext/>
              <w:keepLines/>
              <w:spacing w:after="0" w:line="240" w:lineRule="auto"/>
              <w:jc w:val="right"/>
            </w:pPr>
            <w:r>
              <w:rPr>
                <w:sz w:val="18"/>
              </w:rPr>
              <w:t>320.794,89</w:t>
            </w:r>
          </w:p>
        </w:tc>
        <w:tc>
          <w:tcPr>
            <w:tcW w:w="700" w:type="dxa"/>
            <w:tcMar>
              <w:top w:w="0" w:type="dxa"/>
              <w:bottom w:w="0" w:type="dxa"/>
            </w:tcMar>
            <w:vAlign w:val="center"/>
          </w:tcPr>
          <w:p w:rsidR="00A276D9" w:rsidRDefault="00D44536">
            <w:pPr>
              <w:keepNext/>
              <w:keepLines/>
              <w:spacing w:after="0" w:line="240" w:lineRule="auto"/>
              <w:jc w:val="right"/>
            </w:pPr>
            <w:r>
              <w:rPr>
                <w:sz w:val="18"/>
              </w:rPr>
              <w:t>114,0</w:t>
            </w:r>
          </w:p>
        </w:tc>
      </w:tr>
    </w:tbl>
    <w:p w:rsidR="00A276D9" w:rsidRDefault="00A276D9">
      <w:pPr>
        <w:spacing w:after="0"/>
      </w:pPr>
    </w:p>
    <w:p w:rsidR="00A276D9" w:rsidRDefault="00D44536">
      <w:r>
        <w:t>Ovi prihodi evidentiraju se u trenutku plaćanja rashoda kao što su rashodi za zaposlene, naknade zbog nezapošljavanja osoba s invaliditetom, rashodi besplatnog toplog obroka i razmjerno rastu navedenih rashoda veći su i prihodi odnosno tekuće pomoći od MZOM-a. Također evidentirana je doznaka MZOM-a za obilježavanje 100. godišnjice škole u iznosu 2.000,00 EUR.</w:t>
      </w:r>
    </w:p>
    <w:p w:rsidR="00A276D9" w:rsidRDefault="00A276D9"/>
    <w:p w:rsidR="00A276D9" w:rsidRDefault="00D44536">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6526</w:t>
            </w:r>
          </w:p>
        </w:tc>
        <w:tc>
          <w:tcPr>
            <w:tcW w:w="3180" w:type="dxa"/>
            <w:tcMar>
              <w:top w:w="0" w:type="dxa"/>
              <w:bottom w:w="0" w:type="dxa"/>
            </w:tcMar>
            <w:vAlign w:val="center"/>
          </w:tcPr>
          <w:p w:rsidR="00A276D9" w:rsidRDefault="00D44536">
            <w:pPr>
              <w:keepNext/>
              <w:keepLines/>
              <w:spacing w:after="0" w:line="240" w:lineRule="auto"/>
            </w:pPr>
            <w:r>
              <w:rPr>
                <w:sz w:val="18"/>
              </w:rPr>
              <w:t>Ostali nespomenuti prihodi</w:t>
            </w:r>
          </w:p>
        </w:tc>
        <w:tc>
          <w:tcPr>
            <w:tcW w:w="700" w:type="dxa"/>
            <w:tcMar>
              <w:top w:w="0" w:type="dxa"/>
              <w:bottom w:w="0" w:type="dxa"/>
            </w:tcMar>
            <w:vAlign w:val="center"/>
          </w:tcPr>
          <w:p w:rsidR="00A276D9" w:rsidRDefault="00D44536">
            <w:pPr>
              <w:keepNext/>
              <w:keepLines/>
              <w:spacing w:after="0" w:line="240" w:lineRule="auto"/>
            </w:pPr>
            <w:r>
              <w:rPr>
                <w:sz w:val="18"/>
              </w:rPr>
              <w:t>6526</w:t>
            </w:r>
          </w:p>
        </w:tc>
        <w:tc>
          <w:tcPr>
            <w:tcW w:w="1860" w:type="dxa"/>
            <w:tcMar>
              <w:top w:w="0" w:type="dxa"/>
              <w:bottom w:w="0" w:type="dxa"/>
            </w:tcMar>
            <w:vAlign w:val="center"/>
          </w:tcPr>
          <w:p w:rsidR="00A276D9" w:rsidRDefault="00D44536">
            <w:pPr>
              <w:keepNext/>
              <w:keepLines/>
              <w:spacing w:after="0" w:line="240" w:lineRule="auto"/>
              <w:jc w:val="right"/>
            </w:pPr>
            <w:r>
              <w:rPr>
                <w:sz w:val="18"/>
              </w:rPr>
              <w:t>13.094,44</w:t>
            </w:r>
          </w:p>
        </w:tc>
        <w:tc>
          <w:tcPr>
            <w:tcW w:w="1860" w:type="dxa"/>
            <w:tcMar>
              <w:top w:w="0" w:type="dxa"/>
              <w:bottom w:w="0" w:type="dxa"/>
            </w:tcMar>
            <w:vAlign w:val="center"/>
          </w:tcPr>
          <w:p w:rsidR="00A276D9" w:rsidRDefault="00D44536">
            <w:pPr>
              <w:keepNext/>
              <w:keepLines/>
              <w:spacing w:after="0" w:line="240" w:lineRule="auto"/>
              <w:jc w:val="right"/>
            </w:pPr>
            <w:r>
              <w:rPr>
                <w:sz w:val="18"/>
              </w:rPr>
              <w:t>15.011,19</w:t>
            </w:r>
          </w:p>
        </w:tc>
        <w:tc>
          <w:tcPr>
            <w:tcW w:w="700" w:type="dxa"/>
            <w:tcMar>
              <w:top w:w="0" w:type="dxa"/>
              <w:bottom w:w="0" w:type="dxa"/>
            </w:tcMar>
            <w:vAlign w:val="center"/>
          </w:tcPr>
          <w:p w:rsidR="00A276D9" w:rsidRDefault="00D44536">
            <w:pPr>
              <w:keepNext/>
              <w:keepLines/>
              <w:spacing w:after="0" w:line="240" w:lineRule="auto"/>
              <w:jc w:val="right"/>
            </w:pPr>
            <w:r>
              <w:rPr>
                <w:sz w:val="18"/>
              </w:rPr>
              <w:t>114,6</w:t>
            </w:r>
          </w:p>
        </w:tc>
      </w:tr>
    </w:tbl>
    <w:p w:rsidR="00A276D9" w:rsidRDefault="00A276D9">
      <w:pPr>
        <w:spacing w:after="0"/>
      </w:pPr>
    </w:p>
    <w:p w:rsidR="00A276D9" w:rsidRDefault="00D44536">
      <w:r>
        <w:t>Na povećanje ovih prihoda utječe  povećanje broja učenika koji konzumiraju ručak kao dodatni obrok u školi koji se sufin</w:t>
      </w:r>
      <w:r w:rsidR="00EC0C3F">
        <w:t>an</w:t>
      </w:r>
      <w:r>
        <w:t>cira</w:t>
      </w:r>
      <w:r w:rsidR="00EC0C3F">
        <w:t>nje</w:t>
      </w:r>
      <w:r>
        <w:t xml:space="preserve"> u iznosu 3,00 EUR po obroku. Naplata prihoda po izdanim računima za ručak je zadovoljavajuća jer većina roditelja redovito podmiruje potraživanja.</w:t>
      </w:r>
    </w:p>
    <w:p w:rsidR="00A276D9" w:rsidRDefault="00A276D9"/>
    <w:p w:rsidR="00A276D9" w:rsidRDefault="00D44536">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6615</w:t>
            </w:r>
          </w:p>
        </w:tc>
        <w:tc>
          <w:tcPr>
            <w:tcW w:w="3180" w:type="dxa"/>
            <w:tcMar>
              <w:top w:w="0" w:type="dxa"/>
              <w:bottom w:w="0" w:type="dxa"/>
            </w:tcMar>
            <w:vAlign w:val="center"/>
          </w:tcPr>
          <w:p w:rsidR="00A276D9" w:rsidRDefault="00D44536">
            <w:pPr>
              <w:keepNext/>
              <w:keepLines/>
              <w:spacing w:after="0" w:line="240" w:lineRule="auto"/>
            </w:pPr>
            <w:r>
              <w:rPr>
                <w:sz w:val="18"/>
              </w:rPr>
              <w:t>Prihodi od pruženih usluga</w:t>
            </w:r>
          </w:p>
        </w:tc>
        <w:tc>
          <w:tcPr>
            <w:tcW w:w="700" w:type="dxa"/>
            <w:tcMar>
              <w:top w:w="0" w:type="dxa"/>
              <w:bottom w:w="0" w:type="dxa"/>
            </w:tcMar>
            <w:vAlign w:val="center"/>
          </w:tcPr>
          <w:p w:rsidR="00A276D9" w:rsidRDefault="00D44536">
            <w:pPr>
              <w:keepNext/>
              <w:keepLines/>
              <w:spacing w:after="0" w:line="240" w:lineRule="auto"/>
            </w:pPr>
            <w:r>
              <w:rPr>
                <w:sz w:val="18"/>
              </w:rPr>
              <w:t>6615</w:t>
            </w:r>
          </w:p>
        </w:tc>
        <w:tc>
          <w:tcPr>
            <w:tcW w:w="1860" w:type="dxa"/>
            <w:tcMar>
              <w:top w:w="0" w:type="dxa"/>
              <w:bottom w:w="0" w:type="dxa"/>
            </w:tcMar>
            <w:vAlign w:val="center"/>
          </w:tcPr>
          <w:p w:rsidR="00A276D9" w:rsidRDefault="00D44536">
            <w:pPr>
              <w:keepNext/>
              <w:keepLines/>
              <w:spacing w:after="0" w:line="240" w:lineRule="auto"/>
              <w:jc w:val="right"/>
            </w:pPr>
            <w:r>
              <w:rPr>
                <w:sz w:val="18"/>
              </w:rPr>
              <w:t>2.621,90</w:t>
            </w:r>
          </w:p>
        </w:tc>
        <w:tc>
          <w:tcPr>
            <w:tcW w:w="1860" w:type="dxa"/>
            <w:tcMar>
              <w:top w:w="0" w:type="dxa"/>
              <w:bottom w:w="0" w:type="dxa"/>
            </w:tcMar>
            <w:vAlign w:val="center"/>
          </w:tcPr>
          <w:p w:rsidR="00A276D9" w:rsidRDefault="00D44536">
            <w:pPr>
              <w:keepNext/>
              <w:keepLines/>
              <w:spacing w:after="0" w:line="240" w:lineRule="auto"/>
              <w:jc w:val="right"/>
            </w:pPr>
            <w:r>
              <w:rPr>
                <w:sz w:val="18"/>
              </w:rPr>
              <w:t>1.854,72</w:t>
            </w:r>
          </w:p>
        </w:tc>
        <w:tc>
          <w:tcPr>
            <w:tcW w:w="700" w:type="dxa"/>
            <w:tcMar>
              <w:top w:w="0" w:type="dxa"/>
              <w:bottom w:w="0" w:type="dxa"/>
            </w:tcMar>
            <w:vAlign w:val="center"/>
          </w:tcPr>
          <w:p w:rsidR="00A276D9" w:rsidRDefault="00D44536">
            <w:pPr>
              <w:keepNext/>
              <w:keepLines/>
              <w:spacing w:after="0" w:line="240" w:lineRule="auto"/>
              <w:jc w:val="right"/>
            </w:pPr>
            <w:r>
              <w:rPr>
                <w:sz w:val="18"/>
              </w:rPr>
              <w:t>70,7</w:t>
            </w:r>
          </w:p>
        </w:tc>
      </w:tr>
    </w:tbl>
    <w:p w:rsidR="00A276D9" w:rsidRDefault="00A276D9">
      <w:pPr>
        <w:spacing w:after="0"/>
      </w:pPr>
    </w:p>
    <w:p w:rsidR="00A276D9" w:rsidRDefault="00D44536">
      <w:r>
        <w:t>U ovom obračunskom razdoblju naplaćeno je manje prihoda po izdanim računima za zakup školske dvorane.</w:t>
      </w:r>
    </w:p>
    <w:p w:rsidR="00A276D9" w:rsidRDefault="00A276D9"/>
    <w:p w:rsidR="00A276D9" w:rsidRDefault="00D44536">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6711</w:t>
            </w:r>
          </w:p>
        </w:tc>
        <w:tc>
          <w:tcPr>
            <w:tcW w:w="3180" w:type="dxa"/>
            <w:tcMar>
              <w:top w:w="0" w:type="dxa"/>
              <w:bottom w:w="0" w:type="dxa"/>
            </w:tcMar>
            <w:vAlign w:val="center"/>
          </w:tcPr>
          <w:p w:rsidR="00A276D9" w:rsidRDefault="00D44536">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A276D9" w:rsidRDefault="00D44536">
            <w:pPr>
              <w:keepNext/>
              <w:keepLines/>
              <w:spacing w:after="0" w:line="240" w:lineRule="auto"/>
            </w:pPr>
            <w:r>
              <w:rPr>
                <w:sz w:val="18"/>
              </w:rPr>
              <w:t>6711</w:t>
            </w:r>
          </w:p>
        </w:tc>
        <w:tc>
          <w:tcPr>
            <w:tcW w:w="1860" w:type="dxa"/>
            <w:tcMar>
              <w:top w:w="0" w:type="dxa"/>
              <w:bottom w:w="0" w:type="dxa"/>
            </w:tcMar>
            <w:vAlign w:val="center"/>
          </w:tcPr>
          <w:p w:rsidR="00A276D9" w:rsidRDefault="00D44536">
            <w:pPr>
              <w:keepNext/>
              <w:keepLines/>
              <w:spacing w:after="0" w:line="240" w:lineRule="auto"/>
              <w:jc w:val="right"/>
            </w:pPr>
            <w:r>
              <w:rPr>
                <w:sz w:val="18"/>
              </w:rPr>
              <w:t>64.437,60</w:t>
            </w:r>
          </w:p>
        </w:tc>
        <w:tc>
          <w:tcPr>
            <w:tcW w:w="1860" w:type="dxa"/>
            <w:tcMar>
              <w:top w:w="0" w:type="dxa"/>
              <w:bottom w:w="0" w:type="dxa"/>
            </w:tcMar>
            <w:vAlign w:val="center"/>
          </w:tcPr>
          <w:p w:rsidR="00A276D9" w:rsidRDefault="00D44536">
            <w:pPr>
              <w:keepNext/>
              <w:keepLines/>
              <w:spacing w:after="0" w:line="240" w:lineRule="auto"/>
              <w:jc w:val="right"/>
            </w:pPr>
            <w:r>
              <w:rPr>
                <w:sz w:val="18"/>
              </w:rPr>
              <w:t>81.860,54</w:t>
            </w:r>
          </w:p>
        </w:tc>
        <w:tc>
          <w:tcPr>
            <w:tcW w:w="700" w:type="dxa"/>
            <w:tcMar>
              <w:top w:w="0" w:type="dxa"/>
              <w:bottom w:w="0" w:type="dxa"/>
            </w:tcMar>
            <w:vAlign w:val="center"/>
          </w:tcPr>
          <w:p w:rsidR="00A276D9" w:rsidRDefault="00D44536">
            <w:pPr>
              <w:keepNext/>
              <w:keepLines/>
              <w:spacing w:after="0" w:line="240" w:lineRule="auto"/>
              <w:jc w:val="right"/>
            </w:pPr>
            <w:r>
              <w:rPr>
                <w:sz w:val="18"/>
              </w:rPr>
              <w:t>127,0</w:t>
            </w:r>
          </w:p>
        </w:tc>
      </w:tr>
    </w:tbl>
    <w:p w:rsidR="00A276D9" w:rsidRDefault="00A276D9">
      <w:pPr>
        <w:spacing w:after="0"/>
      </w:pPr>
    </w:p>
    <w:p w:rsidR="00A276D9" w:rsidRDefault="00D44536">
      <w:r>
        <w:t>Na značajno povećanje ovih prihoda utjecalo je plaćanje rashoda s kraja 2025. godine, kao i redovito plaćanje rashoda iz ovog obračunskog razdoblja. Prihodi se priznaju u trenutku plaćanja rashoda te njihovo evidentiranje ovisi o dinamici plaćanja obveza nadležnog proračuna- osnivača.</w:t>
      </w:r>
    </w:p>
    <w:p w:rsidR="00A276D9" w:rsidRDefault="00A276D9"/>
    <w:p w:rsidR="00A276D9" w:rsidRDefault="00D44536">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6712</w:t>
            </w:r>
          </w:p>
        </w:tc>
        <w:tc>
          <w:tcPr>
            <w:tcW w:w="3180" w:type="dxa"/>
            <w:tcMar>
              <w:top w:w="0" w:type="dxa"/>
              <w:bottom w:w="0" w:type="dxa"/>
            </w:tcMar>
            <w:vAlign w:val="center"/>
          </w:tcPr>
          <w:p w:rsidR="00A276D9" w:rsidRDefault="00D44536">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A276D9" w:rsidRDefault="00D44536">
            <w:pPr>
              <w:keepNext/>
              <w:keepLines/>
              <w:spacing w:after="0" w:line="240" w:lineRule="auto"/>
            </w:pPr>
            <w:r>
              <w:rPr>
                <w:sz w:val="18"/>
              </w:rPr>
              <w:t>6712</w:t>
            </w:r>
          </w:p>
        </w:tc>
        <w:tc>
          <w:tcPr>
            <w:tcW w:w="1860" w:type="dxa"/>
            <w:tcMar>
              <w:top w:w="0" w:type="dxa"/>
              <w:bottom w:w="0" w:type="dxa"/>
            </w:tcMar>
            <w:vAlign w:val="center"/>
          </w:tcPr>
          <w:p w:rsidR="00A276D9" w:rsidRDefault="00D44536">
            <w:pPr>
              <w:keepNext/>
              <w:keepLines/>
              <w:spacing w:after="0" w:line="240" w:lineRule="auto"/>
              <w:jc w:val="right"/>
            </w:pPr>
            <w:r>
              <w:rPr>
                <w:sz w:val="18"/>
              </w:rPr>
              <w:t>4.305,81</w:t>
            </w:r>
          </w:p>
        </w:tc>
        <w:tc>
          <w:tcPr>
            <w:tcW w:w="1860" w:type="dxa"/>
            <w:tcMar>
              <w:top w:w="0" w:type="dxa"/>
              <w:bottom w:w="0" w:type="dxa"/>
            </w:tcMar>
            <w:vAlign w:val="center"/>
          </w:tcPr>
          <w:p w:rsidR="00A276D9" w:rsidRDefault="00D44536">
            <w:pPr>
              <w:keepNext/>
              <w:keepLines/>
              <w:spacing w:after="0" w:line="240" w:lineRule="auto"/>
              <w:jc w:val="right"/>
            </w:pPr>
            <w:r>
              <w:rPr>
                <w:sz w:val="18"/>
              </w:rPr>
              <w:t>15.213,45</w:t>
            </w:r>
          </w:p>
        </w:tc>
        <w:tc>
          <w:tcPr>
            <w:tcW w:w="700" w:type="dxa"/>
            <w:tcMar>
              <w:top w:w="0" w:type="dxa"/>
              <w:bottom w:w="0" w:type="dxa"/>
            </w:tcMar>
            <w:vAlign w:val="center"/>
          </w:tcPr>
          <w:p w:rsidR="00A276D9" w:rsidRDefault="00D44536">
            <w:pPr>
              <w:keepNext/>
              <w:keepLines/>
              <w:spacing w:after="0" w:line="240" w:lineRule="auto"/>
              <w:jc w:val="right"/>
            </w:pPr>
            <w:r>
              <w:rPr>
                <w:sz w:val="18"/>
              </w:rPr>
              <w:t>353,3</w:t>
            </w:r>
          </w:p>
        </w:tc>
      </w:tr>
    </w:tbl>
    <w:p w:rsidR="00A276D9" w:rsidRDefault="00A276D9">
      <w:pPr>
        <w:spacing w:after="0"/>
      </w:pPr>
    </w:p>
    <w:p w:rsidR="00A276D9" w:rsidRDefault="00D44536">
      <w:r>
        <w:t>Ovi prihodi ostvareni su naplatom računa za nefinancijsku imovinu s kraja 2025. godine. U ovom obračunskom razdoblju nisu ostvareni rashodi nabave  nefinancijske imovine.</w:t>
      </w:r>
    </w:p>
    <w:p w:rsidR="00A276D9" w:rsidRDefault="00A276D9"/>
    <w:p w:rsidR="00A276D9" w:rsidRDefault="00D44536">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31</w:t>
            </w:r>
          </w:p>
        </w:tc>
        <w:tc>
          <w:tcPr>
            <w:tcW w:w="3180" w:type="dxa"/>
            <w:tcMar>
              <w:top w:w="0" w:type="dxa"/>
              <w:bottom w:w="0" w:type="dxa"/>
            </w:tcMar>
            <w:vAlign w:val="center"/>
          </w:tcPr>
          <w:p w:rsidR="00A276D9" w:rsidRDefault="00D44536">
            <w:pPr>
              <w:keepNext/>
              <w:keepLines/>
              <w:spacing w:after="0" w:line="240" w:lineRule="auto"/>
            </w:pPr>
            <w:r>
              <w:rPr>
                <w:sz w:val="18"/>
              </w:rPr>
              <w:t>Rashodi za zaposlene (šifre 311+312+313)</w:t>
            </w:r>
          </w:p>
        </w:tc>
        <w:tc>
          <w:tcPr>
            <w:tcW w:w="700" w:type="dxa"/>
            <w:tcMar>
              <w:top w:w="0" w:type="dxa"/>
              <w:bottom w:w="0" w:type="dxa"/>
            </w:tcMar>
            <w:vAlign w:val="center"/>
          </w:tcPr>
          <w:p w:rsidR="00A276D9" w:rsidRDefault="00D44536">
            <w:pPr>
              <w:keepNext/>
              <w:keepLines/>
              <w:spacing w:after="0" w:line="240" w:lineRule="auto"/>
            </w:pPr>
            <w:r>
              <w:rPr>
                <w:sz w:val="18"/>
              </w:rPr>
              <w:t>31</w:t>
            </w:r>
          </w:p>
        </w:tc>
        <w:tc>
          <w:tcPr>
            <w:tcW w:w="1860" w:type="dxa"/>
            <w:tcMar>
              <w:top w:w="0" w:type="dxa"/>
              <w:bottom w:w="0" w:type="dxa"/>
            </w:tcMar>
            <w:vAlign w:val="center"/>
          </w:tcPr>
          <w:p w:rsidR="00A276D9" w:rsidRDefault="00D44536">
            <w:pPr>
              <w:keepNext/>
              <w:keepLines/>
              <w:spacing w:after="0" w:line="240" w:lineRule="auto"/>
              <w:jc w:val="right"/>
            </w:pPr>
            <w:r>
              <w:rPr>
                <w:sz w:val="18"/>
              </w:rPr>
              <w:t>375.683,96</w:t>
            </w:r>
          </w:p>
        </w:tc>
        <w:tc>
          <w:tcPr>
            <w:tcW w:w="1860" w:type="dxa"/>
            <w:tcMar>
              <w:top w:w="0" w:type="dxa"/>
              <w:bottom w:w="0" w:type="dxa"/>
            </w:tcMar>
            <w:vAlign w:val="center"/>
          </w:tcPr>
          <w:p w:rsidR="00A276D9" w:rsidRDefault="00D44536">
            <w:pPr>
              <w:keepNext/>
              <w:keepLines/>
              <w:spacing w:after="0" w:line="240" w:lineRule="auto"/>
              <w:jc w:val="right"/>
            </w:pPr>
            <w:r>
              <w:rPr>
                <w:sz w:val="18"/>
              </w:rPr>
              <w:t>321.825,20</w:t>
            </w:r>
          </w:p>
        </w:tc>
        <w:tc>
          <w:tcPr>
            <w:tcW w:w="700" w:type="dxa"/>
            <w:tcMar>
              <w:top w:w="0" w:type="dxa"/>
              <w:bottom w:w="0" w:type="dxa"/>
            </w:tcMar>
            <w:vAlign w:val="center"/>
          </w:tcPr>
          <w:p w:rsidR="00A276D9" w:rsidRDefault="00D44536">
            <w:pPr>
              <w:keepNext/>
              <w:keepLines/>
              <w:spacing w:after="0" w:line="240" w:lineRule="auto"/>
              <w:jc w:val="right"/>
            </w:pPr>
            <w:r>
              <w:rPr>
                <w:sz w:val="18"/>
              </w:rPr>
              <w:t>85,7</w:t>
            </w:r>
          </w:p>
        </w:tc>
      </w:tr>
    </w:tbl>
    <w:p w:rsidR="00A276D9" w:rsidRDefault="00A276D9">
      <w:pPr>
        <w:spacing w:after="0"/>
      </w:pPr>
    </w:p>
    <w:p w:rsidR="00A276D9" w:rsidRDefault="00D44536">
      <w:r>
        <w:t>Značajno smanjeni ovi rashodi u odnosu na isto izvještajno razdoblje prethodne godine posljedica su promjena u evidentiranju plaće za 12/24 koja je bila dodatni trošak prikazan u rashodima za prošlu godinu dok  u ovom obračunskom razdoblju to više nije potrebno i evidentirana su tri rashoda plaća.</w:t>
      </w:r>
    </w:p>
    <w:p w:rsidR="00A276D9" w:rsidRDefault="00A276D9"/>
    <w:p w:rsidR="00A276D9" w:rsidRDefault="00D44536">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3211</w:t>
            </w:r>
          </w:p>
        </w:tc>
        <w:tc>
          <w:tcPr>
            <w:tcW w:w="3180" w:type="dxa"/>
            <w:tcMar>
              <w:top w:w="0" w:type="dxa"/>
              <w:bottom w:w="0" w:type="dxa"/>
            </w:tcMar>
            <w:vAlign w:val="center"/>
          </w:tcPr>
          <w:p w:rsidR="00A276D9" w:rsidRDefault="00D44536">
            <w:pPr>
              <w:keepNext/>
              <w:keepLines/>
              <w:spacing w:after="0" w:line="240" w:lineRule="auto"/>
            </w:pPr>
            <w:r>
              <w:rPr>
                <w:sz w:val="18"/>
              </w:rPr>
              <w:t>Službena putovanja</w:t>
            </w:r>
          </w:p>
        </w:tc>
        <w:tc>
          <w:tcPr>
            <w:tcW w:w="700" w:type="dxa"/>
            <w:tcMar>
              <w:top w:w="0" w:type="dxa"/>
              <w:bottom w:w="0" w:type="dxa"/>
            </w:tcMar>
            <w:vAlign w:val="center"/>
          </w:tcPr>
          <w:p w:rsidR="00A276D9" w:rsidRDefault="00D44536">
            <w:pPr>
              <w:keepNext/>
              <w:keepLines/>
              <w:spacing w:after="0" w:line="240" w:lineRule="auto"/>
            </w:pPr>
            <w:r>
              <w:rPr>
                <w:sz w:val="18"/>
              </w:rPr>
              <w:t>3211</w:t>
            </w:r>
          </w:p>
        </w:tc>
        <w:tc>
          <w:tcPr>
            <w:tcW w:w="1860" w:type="dxa"/>
            <w:tcMar>
              <w:top w:w="0" w:type="dxa"/>
              <w:bottom w:w="0" w:type="dxa"/>
            </w:tcMar>
            <w:vAlign w:val="center"/>
          </w:tcPr>
          <w:p w:rsidR="00A276D9" w:rsidRDefault="00D44536">
            <w:pPr>
              <w:keepNext/>
              <w:keepLines/>
              <w:spacing w:after="0" w:line="240" w:lineRule="auto"/>
              <w:jc w:val="right"/>
            </w:pPr>
            <w:r>
              <w:rPr>
                <w:sz w:val="18"/>
              </w:rPr>
              <w:t>1.140,84</w:t>
            </w:r>
          </w:p>
        </w:tc>
        <w:tc>
          <w:tcPr>
            <w:tcW w:w="1860" w:type="dxa"/>
            <w:tcMar>
              <w:top w:w="0" w:type="dxa"/>
              <w:bottom w:w="0" w:type="dxa"/>
            </w:tcMar>
            <w:vAlign w:val="center"/>
          </w:tcPr>
          <w:p w:rsidR="00A276D9" w:rsidRDefault="00D44536">
            <w:pPr>
              <w:keepNext/>
              <w:keepLines/>
              <w:spacing w:after="0" w:line="240" w:lineRule="auto"/>
              <w:jc w:val="right"/>
            </w:pPr>
            <w:r>
              <w:rPr>
                <w:sz w:val="18"/>
              </w:rPr>
              <w:t>731,26</w:t>
            </w:r>
          </w:p>
        </w:tc>
        <w:tc>
          <w:tcPr>
            <w:tcW w:w="700" w:type="dxa"/>
            <w:tcMar>
              <w:top w:w="0" w:type="dxa"/>
              <w:bottom w:w="0" w:type="dxa"/>
            </w:tcMar>
            <w:vAlign w:val="center"/>
          </w:tcPr>
          <w:p w:rsidR="00A276D9" w:rsidRDefault="00D44536">
            <w:pPr>
              <w:keepNext/>
              <w:keepLines/>
              <w:spacing w:after="0" w:line="240" w:lineRule="auto"/>
              <w:jc w:val="right"/>
            </w:pPr>
            <w:r>
              <w:rPr>
                <w:sz w:val="18"/>
              </w:rPr>
              <w:t>64,1</w:t>
            </w:r>
          </w:p>
        </w:tc>
      </w:tr>
    </w:tbl>
    <w:p w:rsidR="00A276D9" w:rsidRDefault="00A276D9">
      <w:pPr>
        <w:spacing w:after="0"/>
      </w:pPr>
    </w:p>
    <w:p w:rsidR="00A276D9" w:rsidRDefault="00D44536">
      <w:r>
        <w:t>Zbog manje zahtjeva zaposlenika za sudjelovanje na stručnim skupovima, ostvarenje ovih rashoda u ovom izvještajnom razdoblju je manje u odnosu na prethodnu godinu.</w:t>
      </w:r>
    </w:p>
    <w:p w:rsidR="00A276D9" w:rsidRDefault="00A276D9"/>
    <w:p w:rsidR="00A276D9" w:rsidRDefault="00D44536">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3213</w:t>
            </w:r>
          </w:p>
        </w:tc>
        <w:tc>
          <w:tcPr>
            <w:tcW w:w="3180" w:type="dxa"/>
            <w:tcMar>
              <w:top w:w="0" w:type="dxa"/>
              <w:bottom w:w="0" w:type="dxa"/>
            </w:tcMar>
            <w:vAlign w:val="center"/>
          </w:tcPr>
          <w:p w:rsidR="00A276D9" w:rsidRDefault="00D44536">
            <w:pPr>
              <w:keepNext/>
              <w:keepLines/>
              <w:spacing w:after="0" w:line="240" w:lineRule="auto"/>
            </w:pPr>
            <w:r>
              <w:rPr>
                <w:sz w:val="18"/>
              </w:rPr>
              <w:t>Stručno usavršavanje zaposlenika</w:t>
            </w:r>
          </w:p>
        </w:tc>
        <w:tc>
          <w:tcPr>
            <w:tcW w:w="700" w:type="dxa"/>
            <w:tcMar>
              <w:top w:w="0" w:type="dxa"/>
              <w:bottom w:w="0" w:type="dxa"/>
            </w:tcMar>
            <w:vAlign w:val="center"/>
          </w:tcPr>
          <w:p w:rsidR="00A276D9" w:rsidRDefault="00D44536">
            <w:pPr>
              <w:keepNext/>
              <w:keepLines/>
              <w:spacing w:after="0" w:line="240" w:lineRule="auto"/>
            </w:pPr>
            <w:r>
              <w:rPr>
                <w:sz w:val="18"/>
              </w:rPr>
              <w:t>3213</w:t>
            </w:r>
          </w:p>
        </w:tc>
        <w:tc>
          <w:tcPr>
            <w:tcW w:w="1860" w:type="dxa"/>
            <w:tcMar>
              <w:top w:w="0" w:type="dxa"/>
              <w:bottom w:w="0" w:type="dxa"/>
            </w:tcMar>
            <w:vAlign w:val="center"/>
          </w:tcPr>
          <w:p w:rsidR="00A276D9" w:rsidRDefault="00D44536">
            <w:pPr>
              <w:keepNext/>
              <w:keepLines/>
              <w:spacing w:after="0" w:line="240" w:lineRule="auto"/>
              <w:jc w:val="right"/>
            </w:pPr>
            <w:r>
              <w:rPr>
                <w:sz w:val="18"/>
              </w:rPr>
              <w:t>99,00</w:t>
            </w:r>
          </w:p>
        </w:tc>
        <w:tc>
          <w:tcPr>
            <w:tcW w:w="1860" w:type="dxa"/>
            <w:tcMar>
              <w:top w:w="0" w:type="dxa"/>
              <w:bottom w:w="0" w:type="dxa"/>
            </w:tcMar>
            <w:vAlign w:val="center"/>
          </w:tcPr>
          <w:p w:rsidR="00A276D9" w:rsidRDefault="00D44536">
            <w:pPr>
              <w:keepNext/>
              <w:keepLines/>
              <w:spacing w:after="0" w:line="240" w:lineRule="auto"/>
              <w:jc w:val="right"/>
            </w:pPr>
            <w:r>
              <w:rPr>
                <w:sz w:val="18"/>
              </w:rPr>
              <w:t>178,00</w:t>
            </w:r>
          </w:p>
        </w:tc>
        <w:tc>
          <w:tcPr>
            <w:tcW w:w="700" w:type="dxa"/>
            <w:tcMar>
              <w:top w:w="0" w:type="dxa"/>
              <w:bottom w:w="0" w:type="dxa"/>
            </w:tcMar>
            <w:vAlign w:val="center"/>
          </w:tcPr>
          <w:p w:rsidR="00A276D9" w:rsidRDefault="00D44536">
            <w:pPr>
              <w:keepNext/>
              <w:keepLines/>
              <w:spacing w:after="0" w:line="240" w:lineRule="auto"/>
              <w:jc w:val="right"/>
            </w:pPr>
            <w:r>
              <w:rPr>
                <w:sz w:val="18"/>
              </w:rPr>
              <w:t>179,8</w:t>
            </w:r>
          </w:p>
        </w:tc>
      </w:tr>
    </w:tbl>
    <w:p w:rsidR="00A276D9" w:rsidRDefault="00A276D9">
      <w:pPr>
        <w:spacing w:after="0"/>
      </w:pPr>
    </w:p>
    <w:p w:rsidR="00A276D9" w:rsidRDefault="00D44536">
      <w:r>
        <w:t>Evidentirana je edukacija iz područja javne nabave radi produženja certifikata.</w:t>
      </w:r>
    </w:p>
    <w:p w:rsidR="00A276D9" w:rsidRDefault="00A276D9"/>
    <w:p w:rsidR="00A276D9" w:rsidRDefault="00D44536">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3231</w:t>
            </w:r>
          </w:p>
        </w:tc>
        <w:tc>
          <w:tcPr>
            <w:tcW w:w="3180" w:type="dxa"/>
            <w:tcMar>
              <w:top w:w="0" w:type="dxa"/>
              <w:bottom w:w="0" w:type="dxa"/>
            </w:tcMar>
            <w:vAlign w:val="center"/>
          </w:tcPr>
          <w:p w:rsidR="00A276D9" w:rsidRDefault="00D44536">
            <w:pPr>
              <w:keepNext/>
              <w:keepLines/>
              <w:spacing w:after="0" w:line="240" w:lineRule="auto"/>
            </w:pPr>
            <w:r>
              <w:rPr>
                <w:sz w:val="18"/>
              </w:rPr>
              <w:t>Usluge telefona, interneta, pošte i prijevoza</w:t>
            </w:r>
          </w:p>
        </w:tc>
        <w:tc>
          <w:tcPr>
            <w:tcW w:w="700" w:type="dxa"/>
            <w:tcMar>
              <w:top w:w="0" w:type="dxa"/>
              <w:bottom w:w="0" w:type="dxa"/>
            </w:tcMar>
            <w:vAlign w:val="center"/>
          </w:tcPr>
          <w:p w:rsidR="00A276D9" w:rsidRDefault="00D44536">
            <w:pPr>
              <w:keepNext/>
              <w:keepLines/>
              <w:spacing w:after="0" w:line="240" w:lineRule="auto"/>
            </w:pPr>
            <w:r>
              <w:rPr>
                <w:sz w:val="18"/>
              </w:rPr>
              <w:t>3231</w:t>
            </w:r>
          </w:p>
        </w:tc>
        <w:tc>
          <w:tcPr>
            <w:tcW w:w="1860" w:type="dxa"/>
            <w:tcMar>
              <w:top w:w="0" w:type="dxa"/>
              <w:bottom w:w="0" w:type="dxa"/>
            </w:tcMar>
            <w:vAlign w:val="center"/>
          </w:tcPr>
          <w:p w:rsidR="00A276D9" w:rsidRDefault="00D44536">
            <w:pPr>
              <w:keepNext/>
              <w:keepLines/>
              <w:spacing w:after="0" w:line="240" w:lineRule="auto"/>
              <w:jc w:val="right"/>
            </w:pPr>
            <w:r>
              <w:rPr>
                <w:sz w:val="18"/>
              </w:rPr>
              <w:t>7.631,97</w:t>
            </w:r>
          </w:p>
        </w:tc>
        <w:tc>
          <w:tcPr>
            <w:tcW w:w="1860" w:type="dxa"/>
            <w:tcMar>
              <w:top w:w="0" w:type="dxa"/>
              <w:bottom w:w="0" w:type="dxa"/>
            </w:tcMar>
            <w:vAlign w:val="center"/>
          </w:tcPr>
          <w:p w:rsidR="00A276D9" w:rsidRDefault="00D44536">
            <w:pPr>
              <w:keepNext/>
              <w:keepLines/>
              <w:spacing w:after="0" w:line="240" w:lineRule="auto"/>
              <w:jc w:val="right"/>
            </w:pPr>
            <w:r>
              <w:rPr>
                <w:sz w:val="18"/>
              </w:rPr>
              <w:t>10.990,11</w:t>
            </w:r>
          </w:p>
        </w:tc>
        <w:tc>
          <w:tcPr>
            <w:tcW w:w="700" w:type="dxa"/>
            <w:tcMar>
              <w:top w:w="0" w:type="dxa"/>
              <w:bottom w:w="0" w:type="dxa"/>
            </w:tcMar>
            <w:vAlign w:val="center"/>
          </w:tcPr>
          <w:p w:rsidR="00A276D9" w:rsidRDefault="00D44536">
            <w:pPr>
              <w:keepNext/>
              <w:keepLines/>
              <w:spacing w:after="0" w:line="240" w:lineRule="auto"/>
              <w:jc w:val="right"/>
            </w:pPr>
            <w:r>
              <w:rPr>
                <w:sz w:val="18"/>
              </w:rPr>
              <w:t>144,0</w:t>
            </w:r>
          </w:p>
        </w:tc>
      </w:tr>
    </w:tbl>
    <w:p w:rsidR="00A276D9" w:rsidRDefault="00A276D9">
      <w:pPr>
        <w:spacing w:after="0"/>
      </w:pPr>
    </w:p>
    <w:p w:rsidR="00A276D9" w:rsidRDefault="00D44536">
      <w:r>
        <w:t>Povećanje ovih rashoda povezana je sa povećanjem ugovorene cijene prijevoza učenika u školu i iz škole.</w:t>
      </w:r>
    </w:p>
    <w:p w:rsidR="00A276D9" w:rsidRDefault="00A276D9"/>
    <w:p w:rsidR="00A276D9" w:rsidRDefault="00D44536">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3232</w:t>
            </w:r>
          </w:p>
        </w:tc>
        <w:tc>
          <w:tcPr>
            <w:tcW w:w="3180" w:type="dxa"/>
            <w:tcMar>
              <w:top w:w="0" w:type="dxa"/>
              <w:bottom w:w="0" w:type="dxa"/>
            </w:tcMar>
            <w:vAlign w:val="center"/>
          </w:tcPr>
          <w:p w:rsidR="00A276D9" w:rsidRDefault="00D44536">
            <w:pPr>
              <w:keepNext/>
              <w:keepLines/>
              <w:spacing w:after="0" w:line="240" w:lineRule="auto"/>
            </w:pPr>
            <w:r>
              <w:rPr>
                <w:sz w:val="18"/>
              </w:rPr>
              <w:t>Usluge tekućeg i investicijskog održavanja</w:t>
            </w:r>
          </w:p>
        </w:tc>
        <w:tc>
          <w:tcPr>
            <w:tcW w:w="700" w:type="dxa"/>
            <w:tcMar>
              <w:top w:w="0" w:type="dxa"/>
              <w:bottom w:w="0" w:type="dxa"/>
            </w:tcMar>
            <w:vAlign w:val="center"/>
          </w:tcPr>
          <w:p w:rsidR="00A276D9" w:rsidRDefault="00D44536">
            <w:pPr>
              <w:keepNext/>
              <w:keepLines/>
              <w:spacing w:after="0" w:line="240" w:lineRule="auto"/>
            </w:pPr>
            <w:r>
              <w:rPr>
                <w:sz w:val="18"/>
              </w:rPr>
              <w:t>3232</w:t>
            </w:r>
          </w:p>
        </w:tc>
        <w:tc>
          <w:tcPr>
            <w:tcW w:w="1860" w:type="dxa"/>
            <w:tcMar>
              <w:top w:w="0" w:type="dxa"/>
              <w:bottom w:w="0" w:type="dxa"/>
            </w:tcMar>
            <w:vAlign w:val="center"/>
          </w:tcPr>
          <w:p w:rsidR="00A276D9" w:rsidRDefault="00D44536">
            <w:pPr>
              <w:keepNext/>
              <w:keepLines/>
              <w:spacing w:after="0" w:line="240" w:lineRule="auto"/>
              <w:jc w:val="right"/>
            </w:pPr>
            <w:r>
              <w:rPr>
                <w:sz w:val="18"/>
              </w:rPr>
              <w:t>11.534,18</w:t>
            </w:r>
          </w:p>
        </w:tc>
        <w:tc>
          <w:tcPr>
            <w:tcW w:w="1860" w:type="dxa"/>
            <w:tcMar>
              <w:top w:w="0" w:type="dxa"/>
              <w:bottom w:w="0" w:type="dxa"/>
            </w:tcMar>
            <w:vAlign w:val="center"/>
          </w:tcPr>
          <w:p w:rsidR="00A276D9" w:rsidRDefault="00D44536">
            <w:pPr>
              <w:keepNext/>
              <w:keepLines/>
              <w:spacing w:after="0" w:line="240" w:lineRule="auto"/>
              <w:jc w:val="right"/>
            </w:pPr>
            <w:r>
              <w:rPr>
                <w:sz w:val="18"/>
              </w:rPr>
              <w:t>346,74</w:t>
            </w:r>
          </w:p>
        </w:tc>
        <w:tc>
          <w:tcPr>
            <w:tcW w:w="700" w:type="dxa"/>
            <w:tcMar>
              <w:top w:w="0" w:type="dxa"/>
              <w:bottom w:w="0" w:type="dxa"/>
            </w:tcMar>
            <w:vAlign w:val="center"/>
          </w:tcPr>
          <w:p w:rsidR="00A276D9" w:rsidRDefault="00D44536">
            <w:pPr>
              <w:keepNext/>
              <w:keepLines/>
              <w:spacing w:after="0" w:line="240" w:lineRule="auto"/>
              <w:jc w:val="right"/>
            </w:pPr>
            <w:r>
              <w:rPr>
                <w:sz w:val="18"/>
              </w:rPr>
              <w:t>3,0</w:t>
            </w:r>
          </w:p>
        </w:tc>
      </w:tr>
    </w:tbl>
    <w:p w:rsidR="00A276D9" w:rsidRDefault="00A276D9">
      <w:pPr>
        <w:spacing w:after="0"/>
      </w:pPr>
    </w:p>
    <w:p w:rsidR="00A276D9" w:rsidRDefault="00D44536">
      <w:r>
        <w:t>Sukladno potrebama za održavanjem škole ostvaruju se r</w:t>
      </w:r>
      <w:r w:rsidR="00EC0C3F">
        <w:t>a</w:t>
      </w:r>
      <w:r>
        <w:t>shodi za ove usluge.</w:t>
      </w:r>
    </w:p>
    <w:p w:rsidR="00A276D9" w:rsidRDefault="00A276D9"/>
    <w:p w:rsidR="00A276D9" w:rsidRDefault="00D44536">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3236</w:t>
            </w:r>
          </w:p>
        </w:tc>
        <w:tc>
          <w:tcPr>
            <w:tcW w:w="3180" w:type="dxa"/>
            <w:tcMar>
              <w:top w:w="0" w:type="dxa"/>
              <w:bottom w:w="0" w:type="dxa"/>
            </w:tcMar>
            <w:vAlign w:val="center"/>
          </w:tcPr>
          <w:p w:rsidR="00A276D9" w:rsidRDefault="00D44536">
            <w:pPr>
              <w:keepNext/>
              <w:keepLines/>
              <w:spacing w:after="0" w:line="240" w:lineRule="auto"/>
            </w:pPr>
            <w:r>
              <w:rPr>
                <w:sz w:val="18"/>
              </w:rPr>
              <w:t>Zdravstvene i veterinarske usluge</w:t>
            </w:r>
          </w:p>
        </w:tc>
        <w:tc>
          <w:tcPr>
            <w:tcW w:w="700" w:type="dxa"/>
            <w:tcMar>
              <w:top w:w="0" w:type="dxa"/>
              <w:bottom w:w="0" w:type="dxa"/>
            </w:tcMar>
            <w:vAlign w:val="center"/>
          </w:tcPr>
          <w:p w:rsidR="00A276D9" w:rsidRDefault="00D44536">
            <w:pPr>
              <w:keepNext/>
              <w:keepLines/>
              <w:spacing w:after="0" w:line="240" w:lineRule="auto"/>
            </w:pPr>
            <w:r>
              <w:rPr>
                <w:sz w:val="18"/>
              </w:rPr>
              <w:t>3236</w:t>
            </w:r>
          </w:p>
        </w:tc>
        <w:tc>
          <w:tcPr>
            <w:tcW w:w="1860" w:type="dxa"/>
            <w:tcMar>
              <w:top w:w="0" w:type="dxa"/>
              <w:bottom w:w="0" w:type="dxa"/>
            </w:tcMar>
            <w:vAlign w:val="center"/>
          </w:tcPr>
          <w:p w:rsidR="00A276D9" w:rsidRDefault="00D44536">
            <w:pPr>
              <w:keepNext/>
              <w:keepLines/>
              <w:spacing w:after="0" w:line="240" w:lineRule="auto"/>
              <w:jc w:val="right"/>
            </w:pPr>
            <w:r>
              <w:rPr>
                <w:sz w:val="18"/>
              </w:rPr>
              <w:t>309,39</w:t>
            </w:r>
          </w:p>
        </w:tc>
        <w:tc>
          <w:tcPr>
            <w:tcW w:w="1860" w:type="dxa"/>
            <w:tcMar>
              <w:top w:w="0" w:type="dxa"/>
              <w:bottom w:w="0" w:type="dxa"/>
            </w:tcMar>
            <w:vAlign w:val="center"/>
          </w:tcPr>
          <w:p w:rsidR="00A276D9" w:rsidRDefault="00D44536">
            <w:pPr>
              <w:keepNext/>
              <w:keepLines/>
              <w:spacing w:after="0" w:line="240" w:lineRule="auto"/>
              <w:jc w:val="right"/>
            </w:pPr>
            <w:r>
              <w:rPr>
                <w:sz w:val="18"/>
              </w:rPr>
              <w:t>217,64</w:t>
            </w:r>
          </w:p>
        </w:tc>
        <w:tc>
          <w:tcPr>
            <w:tcW w:w="700" w:type="dxa"/>
            <w:tcMar>
              <w:top w:w="0" w:type="dxa"/>
              <w:bottom w:w="0" w:type="dxa"/>
            </w:tcMar>
            <w:vAlign w:val="center"/>
          </w:tcPr>
          <w:p w:rsidR="00A276D9" w:rsidRDefault="00D44536">
            <w:pPr>
              <w:keepNext/>
              <w:keepLines/>
              <w:spacing w:after="0" w:line="240" w:lineRule="auto"/>
              <w:jc w:val="right"/>
            </w:pPr>
            <w:r>
              <w:rPr>
                <w:sz w:val="18"/>
              </w:rPr>
              <w:t>70,3</w:t>
            </w:r>
          </w:p>
        </w:tc>
      </w:tr>
    </w:tbl>
    <w:p w:rsidR="00A276D9" w:rsidRDefault="00A276D9">
      <w:pPr>
        <w:spacing w:after="0"/>
      </w:pPr>
    </w:p>
    <w:p w:rsidR="00A276D9" w:rsidRDefault="00D44536">
      <w:r>
        <w:t>Evidentiraju se rashodi redovitih mikrobioloških ispitivanja u školskoj kuhinji od strane HZZO.</w:t>
      </w:r>
    </w:p>
    <w:p w:rsidR="00A276D9" w:rsidRDefault="00A276D9"/>
    <w:p w:rsidR="00A276D9" w:rsidRDefault="00D44536">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3237</w:t>
            </w:r>
          </w:p>
        </w:tc>
        <w:tc>
          <w:tcPr>
            <w:tcW w:w="3180" w:type="dxa"/>
            <w:tcMar>
              <w:top w:w="0" w:type="dxa"/>
              <w:bottom w:w="0" w:type="dxa"/>
            </w:tcMar>
            <w:vAlign w:val="center"/>
          </w:tcPr>
          <w:p w:rsidR="00A276D9" w:rsidRDefault="00D44536">
            <w:pPr>
              <w:keepNext/>
              <w:keepLines/>
              <w:spacing w:after="0" w:line="240" w:lineRule="auto"/>
            </w:pPr>
            <w:r>
              <w:rPr>
                <w:sz w:val="18"/>
              </w:rPr>
              <w:t>Intelektualne i osobne usluge</w:t>
            </w:r>
          </w:p>
        </w:tc>
        <w:tc>
          <w:tcPr>
            <w:tcW w:w="700" w:type="dxa"/>
            <w:tcMar>
              <w:top w:w="0" w:type="dxa"/>
              <w:bottom w:w="0" w:type="dxa"/>
            </w:tcMar>
            <w:vAlign w:val="center"/>
          </w:tcPr>
          <w:p w:rsidR="00A276D9" w:rsidRDefault="00D44536">
            <w:pPr>
              <w:keepNext/>
              <w:keepLines/>
              <w:spacing w:after="0" w:line="240" w:lineRule="auto"/>
            </w:pPr>
            <w:r>
              <w:rPr>
                <w:sz w:val="18"/>
              </w:rPr>
              <w:t>3237</w:t>
            </w:r>
          </w:p>
        </w:tc>
        <w:tc>
          <w:tcPr>
            <w:tcW w:w="1860" w:type="dxa"/>
            <w:tcMar>
              <w:top w:w="0" w:type="dxa"/>
              <w:bottom w:w="0" w:type="dxa"/>
            </w:tcMar>
            <w:vAlign w:val="center"/>
          </w:tcPr>
          <w:p w:rsidR="00A276D9" w:rsidRDefault="00D44536">
            <w:pPr>
              <w:keepNext/>
              <w:keepLines/>
              <w:spacing w:after="0" w:line="240" w:lineRule="auto"/>
              <w:jc w:val="right"/>
            </w:pPr>
            <w:r>
              <w:rPr>
                <w:sz w:val="18"/>
              </w:rPr>
              <w:t>127,40</w:t>
            </w:r>
          </w:p>
        </w:tc>
        <w:tc>
          <w:tcPr>
            <w:tcW w:w="1860" w:type="dxa"/>
            <w:tcMar>
              <w:top w:w="0" w:type="dxa"/>
              <w:bottom w:w="0" w:type="dxa"/>
            </w:tcMar>
            <w:vAlign w:val="center"/>
          </w:tcPr>
          <w:p w:rsidR="00A276D9" w:rsidRDefault="00D44536">
            <w:pPr>
              <w:keepNext/>
              <w:keepLines/>
              <w:spacing w:after="0" w:line="240" w:lineRule="auto"/>
              <w:jc w:val="right"/>
            </w:pPr>
            <w:r>
              <w:rPr>
                <w:sz w:val="18"/>
              </w:rPr>
              <w:t>160,00</w:t>
            </w:r>
          </w:p>
        </w:tc>
        <w:tc>
          <w:tcPr>
            <w:tcW w:w="700" w:type="dxa"/>
            <w:tcMar>
              <w:top w:w="0" w:type="dxa"/>
              <w:bottom w:w="0" w:type="dxa"/>
            </w:tcMar>
            <w:vAlign w:val="center"/>
          </w:tcPr>
          <w:p w:rsidR="00A276D9" w:rsidRDefault="00D44536">
            <w:pPr>
              <w:keepNext/>
              <w:keepLines/>
              <w:spacing w:after="0" w:line="240" w:lineRule="auto"/>
              <w:jc w:val="right"/>
            </w:pPr>
            <w:r>
              <w:rPr>
                <w:sz w:val="18"/>
              </w:rPr>
              <w:t>125,6</w:t>
            </w:r>
          </w:p>
        </w:tc>
      </w:tr>
    </w:tbl>
    <w:p w:rsidR="00A276D9" w:rsidRDefault="00A276D9">
      <w:pPr>
        <w:spacing w:after="0"/>
      </w:pPr>
    </w:p>
    <w:p w:rsidR="00A276D9" w:rsidRDefault="00D44536">
      <w:r>
        <w:t>Evidentirani su Ugovori o djelu mentorima na županijskom natjecanju iz njemačkog jezika koje financira Varaždinska županija i sukladno Zakl</w:t>
      </w:r>
      <w:r w:rsidR="00EC0C3F">
        <w:t>j</w:t>
      </w:r>
      <w:r>
        <w:t>učku i Rješenjima isplaćeni su Ugovori o djelu mentorima.</w:t>
      </w:r>
    </w:p>
    <w:p w:rsidR="00A276D9" w:rsidRDefault="00A276D9"/>
    <w:p w:rsidR="00A276D9" w:rsidRDefault="00D44536">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3239</w:t>
            </w:r>
          </w:p>
        </w:tc>
        <w:tc>
          <w:tcPr>
            <w:tcW w:w="3180" w:type="dxa"/>
            <w:tcMar>
              <w:top w:w="0" w:type="dxa"/>
              <w:bottom w:w="0" w:type="dxa"/>
            </w:tcMar>
            <w:vAlign w:val="center"/>
          </w:tcPr>
          <w:p w:rsidR="00A276D9" w:rsidRDefault="00D44536">
            <w:pPr>
              <w:keepNext/>
              <w:keepLines/>
              <w:spacing w:after="0" w:line="240" w:lineRule="auto"/>
            </w:pPr>
            <w:r>
              <w:rPr>
                <w:sz w:val="18"/>
              </w:rPr>
              <w:t>Ostale usluge</w:t>
            </w:r>
          </w:p>
        </w:tc>
        <w:tc>
          <w:tcPr>
            <w:tcW w:w="700" w:type="dxa"/>
            <w:tcMar>
              <w:top w:w="0" w:type="dxa"/>
              <w:bottom w:w="0" w:type="dxa"/>
            </w:tcMar>
            <w:vAlign w:val="center"/>
          </w:tcPr>
          <w:p w:rsidR="00A276D9" w:rsidRDefault="00D44536">
            <w:pPr>
              <w:keepNext/>
              <w:keepLines/>
              <w:spacing w:after="0" w:line="240" w:lineRule="auto"/>
            </w:pPr>
            <w:r>
              <w:rPr>
                <w:sz w:val="18"/>
              </w:rPr>
              <w:t>3239</w:t>
            </w:r>
          </w:p>
        </w:tc>
        <w:tc>
          <w:tcPr>
            <w:tcW w:w="1860" w:type="dxa"/>
            <w:tcMar>
              <w:top w:w="0" w:type="dxa"/>
              <w:bottom w:w="0" w:type="dxa"/>
            </w:tcMar>
            <w:vAlign w:val="center"/>
          </w:tcPr>
          <w:p w:rsidR="00A276D9" w:rsidRDefault="00D44536">
            <w:pPr>
              <w:keepNext/>
              <w:keepLines/>
              <w:spacing w:after="0" w:line="240" w:lineRule="auto"/>
              <w:jc w:val="right"/>
            </w:pPr>
            <w:r>
              <w:rPr>
                <w:sz w:val="18"/>
              </w:rPr>
              <w:t>17,50</w:t>
            </w:r>
          </w:p>
        </w:tc>
        <w:tc>
          <w:tcPr>
            <w:tcW w:w="1860" w:type="dxa"/>
            <w:tcMar>
              <w:top w:w="0" w:type="dxa"/>
              <w:bottom w:w="0" w:type="dxa"/>
            </w:tcMar>
            <w:vAlign w:val="center"/>
          </w:tcPr>
          <w:p w:rsidR="00A276D9" w:rsidRDefault="00D44536">
            <w:pPr>
              <w:keepNext/>
              <w:keepLines/>
              <w:spacing w:after="0" w:line="240" w:lineRule="auto"/>
              <w:jc w:val="right"/>
            </w:pPr>
            <w:r>
              <w:rPr>
                <w:sz w:val="18"/>
              </w:rPr>
              <w:t>2.755,25</w:t>
            </w:r>
          </w:p>
        </w:tc>
        <w:tc>
          <w:tcPr>
            <w:tcW w:w="700" w:type="dxa"/>
            <w:tcMar>
              <w:top w:w="0" w:type="dxa"/>
              <w:bottom w:w="0" w:type="dxa"/>
            </w:tcMar>
            <w:vAlign w:val="center"/>
          </w:tcPr>
          <w:p w:rsidR="00A276D9" w:rsidRDefault="00D44536">
            <w:pPr>
              <w:keepNext/>
              <w:keepLines/>
              <w:spacing w:after="0" w:line="240" w:lineRule="auto"/>
              <w:jc w:val="right"/>
            </w:pPr>
            <w:r>
              <w:rPr>
                <w:sz w:val="18"/>
              </w:rPr>
              <w:t>&gt;&gt;100</w:t>
            </w:r>
          </w:p>
        </w:tc>
      </w:tr>
    </w:tbl>
    <w:p w:rsidR="00A276D9" w:rsidRDefault="00A276D9">
      <w:pPr>
        <w:spacing w:after="0"/>
      </w:pPr>
    </w:p>
    <w:p w:rsidR="00A276D9" w:rsidRDefault="00D44536">
      <w:r>
        <w:t>Značajno povećanje ovih usluga odnosi se na usluge iz područja zaštite na radu a najvećim dijelom na energetski pregled i energetsko certificiranje zgrade.</w:t>
      </w:r>
    </w:p>
    <w:p w:rsidR="00A276D9" w:rsidRDefault="00A276D9"/>
    <w:p w:rsidR="00A276D9" w:rsidRDefault="00D44536">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3294</w:t>
            </w:r>
          </w:p>
        </w:tc>
        <w:tc>
          <w:tcPr>
            <w:tcW w:w="3180" w:type="dxa"/>
            <w:tcMar>
              <w:top w:w="0" w:type="dxa"/>
              <w:bottom w:w="0" w:type="dxa"/>
            </w:tcMar>
            <w:vAlign w:val="center"/>
          </w:tcPr>
          <w:p w:rsidR="00A276D9" w:rsidRDefault="00D44536">
            <w:pPr>
              <w:keepNext/>
              <w:keepLines/>
              <w:spacing w:after="0" w:line="240" w:lineRule="auto"/>
            </w:pPr>
            <w:r>
              <w:rPr>
                <w:sz w:val="18"/>
              </w:rPr>
              <w:t>Članarine i norme</w:t>
            </w:r>
          </w:p>
        </w:tc>
        <w:tc>
          <w:tcPr>
            <w:tcW w:w="700" w:type="dxa"/>
            <w:tcMar>
              <w:top w:w="0" w:type="dxa"/>
              <w:bottom w:w="0" w:type="dxa"/>
            </w:tcMar>
            <w:vAlign w:val="center"/>
          </w:tcPr>
          <w:p w:rsidR="00A276D9" w:rsidRDefault="00D44536">
            <w:pPr>
              <w:keepNext/>
              <w:keepLines/>
              <w:spacing w:after="0" w:line="240" w:lineRule="auto"/>
            </w:pPr>
            <w:r>
              <w:rPr>
                <w:sz w:val="18"/>
              </w:rPr>
              <w:t>3294</w:t>
            </w:r>
          </w:p>
        </w:tc>
        <w:tc>
          <w:tcPr>
            <w:tcW w:w="1860" w:type="dxa"/>
            <w:tcMar>
              <w:top w:w="0" w:type="dxa"/>
              <w:bottom w:w="0" w:type="dxa"/>
            </w:tcMar>
            <w:vAlign w:val="center"/>
          </w:tcPr>
          <w:p w:rsidR="00A276D9" w:rsidRDefault="00D44536">
            <w:pPr>
              <w:keepNext/>
              <w:keepLines/>
              <w:spacing w:after="0" w:line="240" w:lineRule="auto"/>
              <w:jc w:val="right"/>
            </w:pPr>
            <w:r>
              <w:rPr>
                <w:sz w:val="18"/>
              </w:rPr>
              <w:t>55,00</w:t>
            </w:r>
          </w:p>
        </w:tc>
        <w:tc>
          <w:tcPr>
            <w:tcW w:w="1860" w:type="dxa"/>
            <w:tcMar>
              <w:top w:w="0" w:type="dxa"/>
              <w:bottom w:w="0" w:type="dxa"/>
            </w:tcMar>
            <w:vAlign w:val="center"/>
          </w:tcPr>
          <w:p w:rsidR="00A276D9" w:rsidRDefault="00D44536">
            <w:pPr>
              <w:keepNext/>
              <w:keepLines/>
              <w:spacing w:after="0" w:line="240" w:lineRule="auto"/>
              <w:jc w:val="right"/>
            </w:pPr>
            <w:r>
              <w:rPr>
                <w:sz w:val="18"/>
              </w:rPr>
              <w:t>165,00</w:t>
            </w:r>
          </w:p>
        </w:tc>
        <w:tc>
          <w:tcPr>
            <w:tcW w:w="700" w:type="dxa"/>
            <w:tcMar>
              <w:top w:w="0" w:type="dxa"/>
              <w:bottom w:w="0" w:type="dxa"/>
            </w:tcMar>
            <w:vAlign w:val="center"/>
          </w:tcPr>
          <w:p w:rsidR="00A276D9" w:rsidRDefault="00D44536">
            <w:pPr>
              <w:keepNext/>
              <w:keepLines/>
              <w:spacing w:after="0" w:line="240" w:lineRule="auto"/>
              <w:jc w:val="right"/>
            </w:pPr>
            <w:r>
              <w:rPr>
                <w:sz w:val="18"/>
              </w:rPr>
              <w:t>300</w:t>
            </w:r>
          </w:p>
        </w:tc>
      </w:tr>
    </w:tbl>
    <w:p w:rsidR="00A276D9" w:rsidRDefault="00A276D9">
      <w:pPr>
        <w:spacing w:after="0"/>
      </w:pPr>
    </w:p>
    <w:p w:rsidR="00A276D9" w:rsidRDefault="00D44536">
      <w:r>
        <w:t>Na povećanje ovih rashoda utječe povećanje iznosa tuzemnim članarinama: HUROŠ, Hrvatski savez učeničkog zadrugarstva, Hrvatska zajednica osnovnih škola.</w:t>
      </w:r>
    </w:p>
    <w:p w:rsidR="00A276D9" w:rsidRDefault="00A276D9"/>
    <w:p w:rsidR="00A276D9" w:rsidRDefault="00D44536">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3295</w:t>
            </w:r>
          </w:p>
        </w:tc>
        <w:tc>
          <w:tcPr>
            <w:tcW w:w="3180" w:type="dxa"/>
            <w:tcMar>
              <w:top w:w="0" w:type="dxa"/>
              <w:bottom w:w="0" w:type="dxa"/>
            </w:tcMar>
            <w:vAlign w:val="center"/>
          </w:tcPr>
          <w:p w:rsidR="00A276D9" w:rsidRDefault="00D44536">
            <w:pPr>
              <w:keepNext/>
              <w:keepLines/>
              <w:spacing w:after="0" w:line="240" w:lineRule="auto"/>
            </w:pPr>
            <w:r>
              <w:rPr>
                <w:sz w:val="18"/>
              </w:rPr>
              <w:t>Pristojbe i naknade</w:t>
            </w:r>
          </w:p>
        </w:tc>
        <w:tc>
          <w:tcPr>
            <w:tcW w:w="700" w:type="dxa"/>
            <w:tcMar>
              <w:top w:w="0" w:type="dxa"/>
              <w:bottom w:w="0" w:type="dxa"/>
            </w:tcMar>
            <w:vAlign w:val="center"/>
          </w:tcPr>
          <w:p w:rsidR="00A276D9" w:rsidRDefault="00D44536">
            <w:pPr>
              <w:keepNext/>
              <w:keepLines/>
              <w:spacing w:after="0" w:line="240" w:lineRule="auto"/>
            </w:pPr>
            <w:r>
              <w:rPr>
                <w:sz w:val="18"/>
              </w:rPr>
              <w:t>3295</w:t>
            </w:r>
          </w:p>
        </w:tc>
        <w:tc>
          <w:tcPr>
            <w:tcW w:w="1860" w:type="dxa"/>
            <w:tcMar>
              <w:top w:w="0" w:type="dxa"/>
              <w:bottom w:w="0" w:type="dxa"/>
            </w:tcMar>
            <w:vAlign w:val="center"/>
          </w:tcPr>
          <w:p w:rsidR="00A276D9" w:rsidRDefault="00D44536">
            <w:pPr>
              <w:keepNext/>
              <w:keepLines/>
              <w:spacing w:after="0" w:line="240" w:lineRule="auto"/>
              <w:jc w:val="right"/>
            </w:pPr>
            <w:r>
              <w:rPr>
                <w:sz w:val="18"/>
              </w:rPr>
              <w:t>496,09</w:t>
            </w:r>
          </w:p>
        </w:tc>
        <w:tc>
          <w:tcPr>
            <w:tcW w:w="1860" w:type="dxa"/>
            <w:tcMar>
              <w:top w:w="0" w:type="dxa"/>
              <w:bottom w:w="0" w:type="dxa"/>
            </w:tcMar>
            <w:vAlign w:val="center"/>
          </w:tcPr>
          <w:p w:rsidR="00A276D9" w:rsidRDefault="00D44536">
            <w:pPr>
              <w:keepNext/>
              <w:keepLines/>
              <w:spacing w:after="0" w:line="240" w:lineRule="auto"/>
              <w:jc w:val="right"/>
            </w:pPr>
            <w:r>
              <w:rPr>
                <w:sz w:val="18"/>
              </w:rPr>
              <w:t>1.260,00</w:t>
            </w:r>
          </w:p>
        </w:tc>
        <w:tc>
          <w:tcPr>
            <w:tcW w:w="700" w:type="dxa"/>
            <w:tcMar>
              <w:top w:w="0" w:type="dxa"/>
              <w:bottom w:w="0" w:type="dxa"/>
            </w:tcMar>
            <w:vAlign w:val="center"/>
          </w:tcPr>
          <w:p w:rsidR="00A276D9" w:rsidRDefault="00D44536">
            <w:pPr>
              <w:keepNext/>
              <w:keepLines/>
              <w:spacing w:after="0" w:line="240" w:lineRule="auto"/>
              <w:jc w:val="right"/>
            </w:pPr>
            <w:r>
              <w:rPr>
                <w:sz w:val="18"/>
              </w:rPr>
              <w:t>254,0</w:t>
            </w:r>
          </w:p>
        </w:tc>
      </w:tr>
    </w:tbl>
    <w:p w:rsidR="00A276D9" w:rsidRDefault="00A276D9">
      <w:pPr>
        <w:spacing w:after="0"/>
      </w:pPr>
    </w:p>
    <w:p w:rsidR="00A276D9" w:rsidRDefault="00D44536">
      <w:r>
        <w:t>Škola je obvezna s obzirom na broj zaposlenih plaćati 2 naknade zbog nezapošljavanja osoba s invaliditetom čiji je iznos povećan za 2026. godinu. Obveza je usklađena s potraživanja u aplikaciji NERA ZOSI.</w:t>
      </w:r>
    </w:p>
    <w:p w:rsidR="00A276D9" w:rsidRDefault="00A276D9"/>
    <w:p w:rsidR="00A276D9" w:rsidRDefault="00D44536">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3722</w:t>
            </w:r>
          </w:p>
        </w:tc>
        <w:tc>
          <w:tcPr>
            <w:tcW w:w="3180" w:type="dxa"/>
            <w:tcMar>
              <w:top w:w="0" w:type="dxa"/>
              <w:bottom w:w="0" w:type="dxa"/>
            </w:tcMar>
            <w:vAlign w:val="center"/>
          </w:tcPr>
          <w:p w:rsidR="00A276D9" w:rsidRDefault="00D44536">
            <w:pPr>
              <w:keepNext/>
              <w:keepLines/>
              <w:spacing w:after="0" w:line="240" w:lineRule="auto"/>
            </w:pPr>
            <w:r>
              <w:rPr>
                <w:sz w:val="18"/>
              </w:rPr>
              <w:t>Naknade građanima i kućanstvima u naravi</w:t>
            </w:r>
          </w:p>
        </w:tc>
        <w:tc>
          <w:tcPr>
            <w:tcW w:w="700" w:type="dxa"/>
            <w:tcMar>
              <w:top w:w="0" w:type="dxa"/>
              <w:bottom w:w="0" w:type="dxa"/>
            </w:tcMar>
            <w:vAlign w:val="center"/>
          </w:tcPr>
          <w:p w:rsidR="00A276D9" w:rsidRDefault="00D44536">
            <w:pPr>
              <w:keepNext/>
              <w:keepLines/>
              <w:spacing w:after="0" w:line="240" w:lineRule="auto"/>
            </w:pPr>
            <w:r>
              <w:rPr>
                <w:sz w:val="18"/>
              </w:rPr>
              <w:t>3722</w:t>
            </w:r>
          </w:p>
        </w:tc>
        <w:tc>
          <w:tcPr>
            <w:tcW w:w="1860" w:type="dxa"/>
            <w:tcMar>
              <w:top w:w="0" w:type="dxa"/>
              <w:bottom w:w="0" w:type="dxa"/>
            </w:tcMar>
            <w:vAlign w:val="center"/>
          </w:tcPr>
          <w:p w:rsidR="00A276D9" w:rsidRDefault="00D44536">
            <w:pPr>
              <w:keepNext/>
              <w:keepLines/>
              <w:spacing w:after="0" w:line="240" w:lineRule="auto"/>
              <w:jc w:val="right"/>
            </w:pPr>
            <w:r>
              <w:rPr>
                <w:sz w:val="18"/>
              </w:rPr>
              <w:t>54,40</w:t>
            </w:r>
          </w:p>
        </w:tc>
        <w:tc>
          <w:tcPr>
            <w:tcW w:w="1860" w:type="dxa"/>
            <w:tcMar>
              <w:top w:w="0" w:type="dxa"/>
              <w:bottom w:w="0" w:type="dxa"/>
            </w:tcMar>
            <w:vAlign w:val="center"/>
          </w:tcPr>
          <w:p w:rsidR="00A276D9" w:rsidRDefault="00D44536">
            <w:pPr>
              <w:keepNext/>
              <w:keepLines/>
              <w:spacing w:after="0" w:line="240" w:lineRule="auto"/>
              <w:jc w:val="right"/>
            </w:pPr>
            <w:r>
              <w:rPr>
                <w:sz w:val="18"/>
              </w:rPr>
              <w:t>112,00</w:t>
            </w:r>
          </w:p>
        </w:tc>
        <w:tc>
          <w:tcPr>
            <w:tcW w:w="700" w:type="dxa"/>
            <w:tcMar>
              <w:top w:w="0" w:type="dxa"/>
              <w:bottom w:w="0" w:type="dxa"/>
            </w:tcMar>
            <w:vAlign w:val="center"/>
          </w:tcPr>
          <w:p w:rsidR="00A276D9" w:rsidRDefault="00D44536">
            <w:pPr>
              <w:keepNext/>
              <w:keepLines/>
              <w:spacing w:after="0" w:line="240" w:lineRule="auto"/>
              <w:jc w:val="right"/>
            </w:pPr>
            <w:r>
              <w:rPr>
                <w:sz w:val="18"/>
              </w:rPr>
              <w:t>205,9</w:t>
            </w:r>
          </w:p>
        </w:tc>
      </w:tr>
    </w:tbl>
    <w:p w:rsidR="00A276D9" w:rsidRDefault="00A276D9">
      <w:pPr>
        <w:spacing w:after="0"/>
      </w:pPr>
    </w:p>
    <w:p w:rsidR="00A276D9" w:rsidRDefault="00D44536">
      <w:r>
        <w:t>Sufinanciranje prijevoza učeniku s poteškoćama sukladno Odluci MZOM-a.</w:t>
      </w:r>
    </w:p>
    <w:p w:rsidR="00A276D9" w:rsidRDefault="00A276D9"/>
    <w:p w:rsidR="00A276D9" w:rsidRDefault="00D44536">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92221</w:t>
            </w:r>
          </w:p>
        </w:tc>
        <w:tc>
          <w:tcPr>
            <w:tcW w:w="3180" w:type="dxa"/>
            <w:tcMar>
              <w:top w:w="0" w:type="dxa"/>
              <w:bottom w:w="0" w:type="dxa"/>
            </w:tcMar>
            <w:vAlign w:val="center"/>
          </w:tcPr>
          <w:p w:rsidR="00A276D9" w:rsidRDefault="00D44536">
            <w:pPr>
              <w:keepNext/>
              <w:keepLines/>
              <w:spacing w:after="0" w:line="240" w:lineRule="auto"/>
            </w:pPr>
            <w:r>
              <w:rPr>
                <w:sz w:val="18"/>
              </w:rPr>
              <w:t>Manjak prihoda poslovanja - preneseni</w:t>
            </w:r>
          </w:p>
        </w:tc>
        <w:tc>
          <w:tcPr>
            <w:tcW w:w="700" w:type="dxa"/>
            <w:tcMar>
              <w:top w:w="0" w:type="dxa"/>
              <w:bottom w:w="0" w:type="dxa"/>
            </w:tcMar>
            <w:vAlign w:val="center"/>
          </w:tcPr>
          <w:p w:rsidR="00A276D9" w:rsidRDefault="00D44536">
            <w:pPr>
              <w:keepNext/>
              <w:keepLines/>
              <w:spacing w:after="0" w:line="240" w:lineRule="auto"/>
            </w:pPr>
            <w:r>
              <w:rPr>
                <w:sz w:val="18"/>
              </w:rPr>
              <w:t>92221</w:t>
            </w:r>
          </w:p>
        </w:tc>
        <w:tc>
          <w:tcPr>
            <w:tcW w:w="1860" w:type="dxa"/>
            <w:tcMar>
              <w:top w:w="0" w:type="dxa"/>
              <w:bottom w:w="0" w:type="dxa"/>
            </w:tcMar>
            <w:vAlign w:val="center"/>
          </w:tcPr>
          <w:p w:rsidR="00A276D9" w:rsidRDefault="00D44536">
            <w:pPr>
              <w:keepNext/>
              <w:keepLines/>
              <w:spacing w:after="0" w:line="240" w:lineRule="auto"/>
              <w:jc w:val="right"/>
            </w:pPr>
            <w:r>
              <w:rPr>
                <w:sz w:val="18"/>
              </w:rPr>
              <w:t>3.699,70</w:t>
            </w:r>
          </w:p>
        </w:tc>
        <w:tc>
          <w:tcPr>
            <w:tcW w:w="1860" w:type="dxa"/>
            <w:tcMar>
              <w:top w:w="0" w:type="dxa"/>
              <w:bottom w:w="0" w:type="dxa"/>
            </w:tcMar>
            <w:vAlign w:val="center"/>
          </w:tcPr>
          <w:p w:rsidR="00A276D9" w:rsidRDefault="00D44536">
            <w:pPr>
              <w:keepNext/>
              <w:keepLines/>
              <w:spacing w:after="0" w:line="240" w:lineRule="auto"/>
              <w:jc w:val="right"/>
            </w:pPr>
            <w:r>
              <w:rPr>
                <w:sz w:val="18"/>
              </w:rPr>
              <w:t>131.135,34</w:t>
            </w:r>
          </w:p>
        </w:tc>
        <w:tc>
          <w:tcPr>
            <w:tcW w:w="700" w:type="dxa"/>
            <w:tcMar>
              <w:top w:w="0" w:type="dxa"/>
              <w:bottom w:w="0" w:type="dxa"/>
            </w:tcMar>
            <w:vAlign w:val="center"/>
          </w:tcPr>
          <w:p w:rsidR="00A276D9" w:rsidRDefault="00D44536">
            <w:pPr>
              <w:keepNext/>
              <w:keepLines/>
              <w:spacing w:after="0" w:line="240" w:lineRule="auto"/>
              <w:jc w:val="right"/>
            </w:pPr>
            <w:r>
              <w:rPr>
                <w:sz w:val="18"/>
              </w:rPr>
              <w:t>3544,5</w:t>
            </w:r>
          </w:p>
        </w:tc>
      </w:tr>
    </w:tbl>
    <w:p w:rsidR="00A276D9" w:rsidRDefault="00A276D9">
      <w:pPr>
        <w:spacing w:after="0"/>
      </w:pPr>
    </w:p>
    <w:p w:rsidR="00A276D9" w:rsidRDefault="00D44536">
      <w:r>
        <w:t>U ovom izvještajnom razdoblju došlo je do korekcije rezultata poslovanja, odnosno prenesenog manjka prihoda iz 2025. godine. Preneseni manjak prihoda s kraja 2025. godine iznosio je 129.724,16 EUR. Nakon usklađenja prihoda i rashoda za besplatni topli obrok za drugo polugodište šk.</w:t>
      </w:r>
      <w:r w:rsidR="00EC0C3F">
        <w:t xml:space="preserve"> </w:t>
      </w:r>
      <w:r>
        <w:t xml:space="preserve">god 2025/2026 škola je obvezna vratiti u proračun neutrošene prihode doznačene iz državnog proračuna za tu namjenu. Slijedom toga smanjen je višak prihoda poslovanja 2025. godine iz izvora Pomoći iz državnog proračuna za iznos 1.411,18 EUR. Manjak prihoda poslovanja po tome iznosi 129.724,16 EUR + 1.411,18 EUR= </w:t>
      </w:r>
      <w:r>
        <w:rPr>
          <w:b/>
        </w:rPr>
        <w:t>131.135,34 EUR</w:t>
      </w:r>
      <w:r>
        <w:t>.</w:t>
      </w:r>
    </w:p>
    <w:p w:rsidR="00A276D9" w:rsidRDefault="00A276D9"/>
    <w:p w:rsidR="00A276D9" w:rsidRDefault="00D44536">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96</w:t>
            </w:r>
          </w:p>
        </w:tc>
        <w:tc>
          <w:tcPr>
            <w:tcW w:w="3180" w:type="dxa"/>
            <w:tcMar>
              <w:top w:w="0" w:type="dxa"/>
              <w:bottom w:w="0" w:type="dxa"/>
            </w:tcMar>
            <w:vAlign w:val="center"/>
          </w:tcPr>
          <w:p w:rsidR="00A276D9" w:rsidRDefault="00D44536">
            <w:pPr>
              <w:keepNext/>
              <w:keepLines/>
              <w:spacing w:after="0" w:line="240" w:lineRule="auto"/>
            </w:pPr>
            <w:r>
              <w:rPr>
                <w:sz w:val="18"/>
              </w:rPr>
              <w:t>Obračunati prihodi poslovanja - nenaplaćeni</w:t>
            </w:r>
          </w:p>
        </w:tc>
        <w:tc>
          <w:tcPr>
            <w:tcW w:w="700" w:type="dxa"/>
            <w:tcMar>
              <w:top w:w="0" w:type="dxa"/>
              <w:bottom w:w="0" w:type="dxa"/>
            </w:tcMar>
            <w:vAlign w:val="center"/>
          </w:tcPr>
          <w:p w:rsidR="00A276D9" w:rsidRDefault="00D44536">
            <w:pPr>
              <w:keepNext/>
              <w:keepLines/>
              <w:spacing w:after="0" w:line="240" w:lineRule="auto"/>
            </w:pPr>
            <w:r>
              <w:rPr>
                <w:sz w:val="18"/>
              </w:rPr>
              <w:t>96</w:t>
            </w:r>
          </w:p>
        </w:tc>
        <w:tc>
          <w:tcPr>
            <w:tcW w:w="1860" w:type="dxa"/>
            <w:tcMar>
              <w:top w:w="0" w:type="dxa"/>
              <w:bottom w:w="0" w:type="dxa"/>
            </w:tcMar>
            <w:vAlign w:val="center"/>
          </w:tcPr>
          <w:p w:rsidR="00A276D9" w:rsidRDefault="00D44536">
            <w:pPr>
              <w:keepNext/>
              <w:keepLines/>
              <w:spacing w:after="0" w:line="240" w:lineRule="auto"/>
              <w:jc w:val="right"/>
            </w:pPr>
            <w:r>
              <w:rPr>
                <w:sz w:val="18"/>
              </w:rPr>
              <w:t>100.175,81</w:t>
            </w:r>
          </w:p>
        </w:tc>
        <w:tc>
          <w:tcPr>
            <w:tcW w:w="1860" w:type="dxa"/>
            <w:tcMar>
              <w:top w:w="0" w:type="dxa"/>
              <w:bottom w:w="0" w:type="dxa"/>
            </w:tcMar>
            <w:vAlign w:val="center"/>
          </w:tcPr>
          <w:p w:rsidR="00A276D9" w:rsidRDefault="00D44536">
            <w:pPr>
              <w:keepNext/>
              <w:keepLines/>
              <w:spacing w:after="0" w:line="240" w:lineRule="auto"/>
              <w:jc w:val="right"/>
            </w:pPr>
            <w:r>
              <w:rPr>
                <w:sz w:val="18"/>
              </w:rPr>
              <w:t>112.131,82</w:t>
            </w:r>
          </w:p>
        </w:tc>
        <w:tc>
          <w:tcPr>
            <w:tcW w:w="700" w:type="dxa"/>
            <w:tcMar>
              <w:top w:w="0" w:type="dxa"/>
              <w:bottom w:w="0" w:type="dxa"/>
            </w:tcMar>
            <w:vAlign w:val="center"/>
          </w:tcPr>
          <w:p w:rsidR="00A276D9" w:rsidRDefault="00D44536">
            <w:pPr>
              <w:keepNext/>
              <w:keepLines/>
              <w:spacing w:after="0" w:line="240" w:lineRule="auto"/>
              <w:jc w:val="right"/>
            </w:pPr>
            <w:r>
              <w:rPr>
                <w:sz w:val="18"/>
              </w:rPr>
              <w:t>111,9</w:t>
            </w:r>
          </w:p>
        </w:tc>
      </w:tr>
    </w:tbl>
    <w:p w:rsidR="00A276D9" w:rsidRDefault="00A276D9">
      <w:pPr>
        <w:spacing w:after="0"/>
      </w:pPr>
    </w:p>
    <w:p w:rsidR="00A276D9" w:rsidRDefault="00D44536">
      <w:r>
        <w:lastRenderedPageBreak/>
        <w:t>Obračunati prihodi poslovanja-nenaplaćeni sadrže obračunate pomoći proračunskim korisnicima iz proračuna koji im nije nadležan, odnosno potraživanja prema MZOM-u za plaću 3/2026, naknadu zbog nezapošljavanja osoba s invaliditetom 3/2026, TUR za 3/2026, mentorstvo iz prethodnih godina i nenaplaćena potraživanja po izdanim računima za zakup dvorane i ručak za učenike.</w:t>
      </w:r>
    </w:p>
    <w:p w:rsidR="00A276D9" w:rsidRDefault="00A276D9"/>
    <w:p w:rsidR="00A276D9" w:rsidRDefault="00D44536">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9661</w:t>
            </w:r>
          </w:p>
        </w:tc>
        <w:tc>
          <w:tcPr>
            <w:tcW w:w="3180" w:type="dxa"/>
            <w:tcMar>
              <w:top w:w="0" w:type="dxa"/>
              <w:bottom w:w="0" w:type="dxa"/>
            </w:tcMar>
            <w:vAlign w:val="center"/>
          </w:tcPr>
          <w:p w:rsidR="00A276D9" w:rsidRDefault="00D44536">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A276D9" w:rsidRDefault="00D44536">
            <w:pPr>
              <w:keepNext/>
              <w:keepLines/>
              <w:spacing w:after="0" w:line="240" w:lineRule="auto"/>
            </w:pPr>
            <w:r>
              <w:rPr>
                <w:sz w:val="18"/>
              </w:rPr>
              <w:t>9661</w:t>
            </w:r>
          </w:p>
        </w:tc>
        <w:tc>
          <w:tcPr>
            <w:tcW w:w="1860" w:type="dxa"/>
            <w:tcMar>
              <w:top w:w="0" w:type="dxa"/>
              <w:bottom w:w="0" w:type="dxa"/>
            </w:tcMar>
            <w:vAlign w:val="center"/>
          </w:tcPr>
          <w:p w:rsidR="00A276D9" w:rsidRDefault="00D44536">
            <w:pPr>
              <w:keepNext/>
              <w:keepLines/>
              <w:spacing w:after="0" w:line="240" w:lineRule="auto"/>
              <w:jc w:val="right"/>
            </w:pPr>
            <w:r>
              <w:rPr>
                <w:sz w:val="18"/>
              </w:rPr>
              <w:t>1.079,92</w:t>
            </w:r>
          </w:p>
        </w:tc>
        <w:tc>
          <w:tcPr>
            <w:tcW w:w="1860" w:type="dxa"/>
            <w:tcMar>
              <w:top w:w="0" w:type="dxa"/>
              <w:bottom w:w="0" w:type="dxa"/>
            </w:tcMar>
            <w:vAlign w:val="center"/>
          </w:tcPr>
          <w:p w:rsidR="00A276D9" w:rsidRDefault="00D44536">
            <w:pPr>
              <w:keepNext/>
              <w:keepLines/>
              <w:spacing w:after="0" w:line="240" w:lineRule="auto"/>
              <w:jc w:val="right"/>
            </w:pPr>
            <w:r>
              <w:rPr>
                <w:sz w:val="18"/>
              </w:rPr>
              <w:t>1.024,73</w:t>
            </w:r>
          </w:p>
        </w:tc>
        <w:tc>
          <w:tcPr>
            <w:tcW w:w="700" w:type="dxa"/>
            <w:tcMar>
              <w:top w:w="0" w:type="dxa"/>
              <w:bottom w:w="0" w:type="dxa"/>
            </w:tcMar>
            <w:vAlign w:val="center"/>
          </w:tcPr>
          <w:p w:rsidR="00A276D9" w:rsidRDefault="00D44536">
            <w:pPr>
              <w:keepNext/>
              <w:keepLines/>
              <w:spacing w:after="0" w:line="240" w:lineRule="auto"/>
              <w:jc w:val="right"/>
            </w:pPr>
            <w:r>
              <w:rPr>
                <w:sz w:val="18"/>
              </w:rPr>
              <w:t>94,9</w:t>
            </w:r>
          </w:p>
        </w:tc>
      </w:tr>
    </w:tbl>
    <w:p w:rsidR="00A276D9" w:rsidRDefault="00A276D9">
      <w:pPr>
        <w:spacing w:after="0"/>
      </w:pPr>
    </w:p>
    <w:p w:rsidR="00A276D9" w:rsidRDefault="00D44536">
      <w:r>
        <w:t>Evidentirana su potraživanja, nenaplaćena potraživanja po izdanim računima za zakup školske dvorane.</w:t>
      </w:r>
    </w:p>
    <w:p w:rsidR="00A276D9" w:rsidRDefault="00A276D9"/>
    <w:p w:rsidR="00A276D9" w:rsidRDefault="00D44536">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4</w:t>
            </w:r>
          </w:p>
        </w:tc>
        <w:tc>
          <w:tcPr>
            <w:tcW w:w="3180" w:type="dxa"/>
            <w:tcMar>
              <w:top w:w="0" w:type="dxa"/>
              <w:bottom w:w="0" w:type="dxa"/>
            </w:tcMar>
            <w:vAlign w:val="center"/>
          </w:tcPr>
          <w:p w:rsidR="00A276D9" w:rsidRDefault="00D4453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276D9" w:rsidRDefault="00D44536">
            <w:pPr>
              <w:keepNext/>
              <w:keepLines/>
              <w:spacing w:after="0" w:line="240" w:lineRule="auto"/>
            </w:pPr>
            <w:r>
              <w:rPr>
                <w:sz w:val="18"/>
              </w:rPr>
              <w:t>4</w:t>
            </w:r>
          </w:p>
        </w:tc>
        <w:tc>
          <w:tcPr>
            <w:tcW w:w="1860" w:type="dxa"/>
            <w:tcMar>
              <w:top w:w="0" w:type="dxa"/>
              <w:bottom w:w="0" w:type="dxa"/>
            </w:tcMar>
            <w:vAlign w:val="center"/>
          </w:tcPr>
          <w:p w:rsidR="00A276D9" w:rsidRDefault="00D44536">
            <w:pPr>
              <w:keepNext/>
              <w:keepLines/>
              <w:spacing w:after="0" w:line="240" w:lineRule="auto"/>
              <w:jc w:val="right"/>
            </w:pPr>
            <w:r>
              <w:rPr>
                <w:sz w:val="18"/>
              </w:rPr>
              <w:t>4.305,81</w:t>
            </w:r>
          </w:p>
        </w:tc>
        <w:tc>
          <w:tcPr>
            <w:tcW w:w="1860" w:type="dxa"/>
            <w:tcMar>
              <w:top w:w="0" w:type="dxa"/>
              <w:bottom w:w="0" w:type="dxa"/>
            </w:tcMar>
            <w:vAlign w:val="center"/>
          </w:tcPr>
          <w:p w:rsidR="00A276D9" w:rsidRDefault="00D44536">
            <w:pPr>
              <w:keepNext/>
              <w:keepLines/>
              <w:spacing w:after="0" w:line="240" w:lineRule="auto"/>
              <w:jc w:val="right"/>
            </w:pPr>
            <w:r>
              <w:rPr>
                <w:sz w:val="18"/>
              </w:rPr>
              <w:t>0,00</w:t>
            </w:r>
          </w:p>
        </w:tc>
        <w:tc>
          <w:tcPr>
            <w:tcW w:w="700" w:type="dxa"/>
            <w:tcMar>
              <w:top w:w="0" w:type="dxa"/>
              <w:bottom w:w="0" w:type="dxa"/>
            </w:tcMar>
            <w:vAlign w:val="center"/>
          </w:tcPr>
          <w:p w:rsidR="00A276D9" w:rsidRDefault="00D44536">
            <w:pPr>
              <w:keepNext/>
              <w:keepLines/>
              <w:spacing w:after="0" w:line="240" w:lineRule="auto"/>
              <w:jc w:val="right"/>
            </w:pPr>
            <w:r>
              <w:rPr>
                <w:sz w:val="18"/>
              </w:rPr>
              <w:t>0</w:t>
            </w:r>
          </w:p>
        </w:tc>
      </w:tr>
    </w:tbl>
    <w:p w:rsidR="00A276D9" w:rsidRDefault="00A276D9">
      <w:pPr>
        <w:spacing w:after="0"/>
      </w:pPr>
    </w:p>
    <w:p w:rsidR="00A276D9" w:rsidRDefault="00D44536">
      <w:r>
        <w:t>U ovom obračunskom razdoblju nisu ostvareni rashodi nabave nefinancijske imovine.</w:t>
      </w:r>
    </w:p>
    <w:p w:rsidR="00A276D9" w:rsidRDefault="00A276D9"/>
    <w:p w:rsidR="00A276D9" w:rsidRDefault="00D44536">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9221x, 9222x</w:t>
            </w:r>
          </w:p>
        </w:tc>
        <w:tc>
          <w:tcPr>
            <w:tcW w:w="3180" w:type="dxa"/>
            <w:tcMar>
              <w:top w:w="0" w:type="dxa"/>
              <w:bottom w:w="0" w:type="dxa"/>
            </w:tcMar>
            <w:vAlign w:val="center"/>
          </w:tcPr>
          <w:p w:rsidR="00A276D9" w:rsidRDefault="00D44536">
            <w:pPr>
              <w:keepNext/>
              <w:keepLines/>
              <w:spacing w:after="0" w:line="240" w:lineRule="auto"/>
            </w:pPr>
            <w:r>
              <w:rPr>
                <w:sz w:val="18"/>
              </w:rPr>
              <w:t>Manjak prihoda - preneseni (šifre 92221+92222-92211-92212)</w:t>
            </w:r>
          </w:p>
        </w:tc>
        <w:tc>
          <w:tcPr>
            <w:tcW w:w="700" w:type="dxa"/>
            <w:tcMar>
              <w:top w:w="0" w:type="dxa"/>
              <w:bottom w:w="0" w:type="dxa"/>
            </w:tcMar>
            <w:vAlign w:val="center"/>
          </w:tcPr>
          <w:p w:rsidR="00A276D9" w:rsidRDefault="00D44536">
            <w:pPr>
              <w:keepNext/>
              <w:keepLines/>
              <w:spacing w:after="0" w:line="240" w:lineRule="auto"/>
            </w:pPr>
            <w:r>
              <w:rPr>
                <w:sz w:val="18"/>
              </w:rPr>
              <w:t>9221x,9222x MP</w:t>
            </w:r>
          </w:p>
        </w:tc>
        <w:tc>
          <w:tcPr>
            <w:tcW w:w="1860" w:type="dxa"/>
            <w:tcMar>
              <w:top w:w="0" w:type="dxa"/>
              <w:bottom w:w="0" w:type="dxa"/>
            </w:tcMar>
            <w:vAlign w:val="center"/>
          </w:tcPr>
          <w:p w:rsidR="00A276D9" w:rsidRDefault="00D44536">
            <w:pPr>
              <w:keepNext/>
              <w:keepLines/>
              <w:spacing w:after="0" w:line="240" w:lineRule="auto"/>
              <w:jc w:val="right"/>
            </w:pPr>
            <w:r>
              <w:rPr>
                <w:sz w:val="18"/>
              </w:rPr>
              <w:t>3.699,70</w:t>
            </w:r>
          </w:p>
        </w:tc>
        <w:tc>
          <w:tcPr>
            <w:tcW w:w="1860" w:type="dxa"/>
            <w:tcMar>
              <w:top w:w="0" w:type="dxa"/>
              <w:bottom w:w="0" w:type="dxa"/>
            </w:tcMar>
            <w:vAlign w:val="center"/>
          </w:tcPr>
          <w:p w:rsidR="00A276D9" w:rsidRDefault="00D44536">
            <w:pPr>
              <w:keepNext/>
              <w:keepLines/>
              <w:spacing w:after="0" w:line="240" w:lineRule="auto"/>
              <w:jc w:val="right"/>
            </w:pPr>
            <w:r>
              <w:rPr>
                <w:sz w:val="18"/>
              </w:rPr>
              <w:t>131.135,34</w:t>
            </w:r>
          </w:p>
        </w:tc>
        <w:tc>
          <w:tcPr>
            <w:tcW w:w="700" w:type="dxa"/>
            <w:tcMar>
              <w:top w:w="0" w:type="dxa"/>
              <w:bottom w:w="0" w:type="dxa"/>
            </w:tcMar>
            <w:vAlign w:val="center"/>
          </w:tcPr>
          <w:p w:rsidR="00A276D9" w:rsidRDefault="00D44536">
            <w:pPr>
              <w:keepNext/>
              <w:keepLines/>
              <w:spacing w:after="0" w:line="240" w:lineRule="auto"/>
              <w:jc w:val="right"/>
            </w:pPr>
            <w:r>
              <w:rPr>
                <w:sz w:val="18"/>
              </w:rPr>
              <w:t>3544,5</w:t>
            </w:r>
          </w:p>
        </w:tc>
      </w:tr>
    </w:tbl>
    <w:p w:rsidR="00A276D9" w:rsidRDefault="00A276D9">
      <w:pPr>
        <w:spacing w:after="0"/>
      </w:pPr>
    </w:p>
    <w:p w:rsidR="00A276D9" w:rsidRDefault="00D44536">
      <w:r>
        <w:t>U ovom izvještajnom razdoblju došlo je do korekcije rezultata poslovanja, odnosno prenesenog manjka prihoda iz 2025. godine. Preneseni manjak prihoda s kraja 2025. godine iznosio je 129.724,16 EUR. Nakon usklađenja prihoda i rashoda za besplatni topli obrok za drugo polugodište šk.</w:t>
      </w:r>
      <w:r w:rsidR="00EC0C3F">
        <w:t xml:space="preserve"> </w:t>
      </w:r>
      <w:r>
        <w:t>god 2025/2026 škola je obvezna vratiti u proračun neutrošene prihode doznačene iz državnog proračuna za tu namjenu. Slijedom toga smanjen je višak prihoda poslovanja 2025. godine iz izvora Pomoći iz državnog proračuna za iznos 1.411,18 EUR. Manjak prihoda poslovanja po tome iznosi 129.724,16 EUR + 1.411,18 EUR= 131.135,34 EUR.</w:t>
      </w:r>
    </w:p>
    <w:p w:rsidR="00A276D9" w:rsidRDefault="00A276D9"/>
    <w:p w:rsidR="00A276D9" w:rsidRDefault="00D44536">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96, 97</w:t>
            </w:r>
          </w:p>
        </w:tc>
        <w:tc>
          <w:tcPr>
            <w:tcW w:w="3180" w:type="dxa"/>
            <w:tcMar>
              <w:top w:w="0" w:type="dxa"/>
              <w:bottom w:w="0" w:type="dxa"/>
            </w:tcMar>
            <w:vAlign w:val="center"/>
          </w:tcPr>
          <w:p w:rsidR="00A276D9" w:rsidRDefault="00D44536">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A276D9" w:rsidRDefault="00D44536">
            <w:pPr>
              <w:keepNext/>
              <w:keepLines/>
              <w:spacing w:after="0" w:line="240" w:lineRule="auto"/>
            </w:pPr>
            <w:r>
              <w:rPr>
                <w:sz w:val="18"/>
              </w:rPr>
              <w:t>96,97</w:t>
            </w:r>
          </w:p>
        </w:tc>
        <w:tc>
          <w:tcPr>
            <w:tcW w:w="1860" w:type="dxa"/>
            <w:tcMar>
              <w:top w:w="0" w:type="dxa"/>
              <w:bottom w:w="0" w:type="dxa"/>
            </w:tcMar>
            <w:vAlign w:val="center"/>
          </w:tcPr>
          <w:p w:rsidR="00A276D9" w:rsidRDefault="00D44536">
            <w:pPr>
              <w:keepNext/>
              <w:keepLines/>
              <w:spacing w:after="0" w:line="240" w:lineRule="auto"/>
              <w:jc w:val="right"/>
            </w:pPr>
            <w:r>
              <w:rPr>
                <w:sz w:val="18"/>
              </w:rPr>
              <w:t>100.175,81</w:t>
            </w:r>
          </w:p>
        </w:tc>
        <w:tc>
          <w:tcPr>
            <w:tcW w:w="1860" w:type="dxa"/>
            <w:tcMar>
              <w:top w:w="0" w:type="dxa"/>
              <w:bottom w:w="0" w:type="dxa"/>
            </w:tcMar>
            <w:vAlign w:val="center"/>
          </w:tcPr>
          <w:p w:rsidR="00A276D9" w:rsidRDefault="00D44536">
            <w:pPr>
              <w:keepNext/>
              <w:keepLines/>
              <w:spacing w:after="0" w:line="240" w:lineRule="auto"/>
              <w:jc w:val="right"/>
            </w:pPr>
            <w:r>
              <w:rPr>
                <w:sz w:val="18"/>
              </w:rPr>
              <w:t>112.131,82</w:t>
            </w:r>
          </w:p>
        </w:tc>
        <w:tc>
          <w:tcPr>
            <w:tcW w:w="700" w:type="dxa"/>
            <w:tcMar>
              <w:top w:w="0" w:type="dxa"/>
              <w:bottom w:w="0" w:type="dxa"/>
            </w:tcMar>
            <w:vAlign w:val="center"/>
          </w:tcPr>
          <w:p w:rsidR="00A276D9" w:rsidRDefault="00D44536">
            <w:pPr>
              <w:keepNext/>
              <w:keepLines/>
              <w:spacing w:after="0" w:line="240" w:lineRule="auto"/>
              <w:jc w:val="right"/>
            </w:pPr>
            <w:r>
              <w:rPr>
                <w:sz w:val="18"/>
              </w:rPr>
              <w:t>111,9</w:t>
            </w:r>
          </w:p>
        </w:tc>
      </w:tr>
    </w:tbl>
    <w:p w:rsidR="00A276D9" w:rsidRDefault="00A276D9">
      <w:pPr>
        <w:spacing w:after="0"/>
      </w:pPr>
    </w:p>
    <w:p w:rsidR="00A276D9" w:rsidRDefault="00D44536">
      <w:r>
        <w:t>Obračunati prihodi poslovanja-nenaplaćeni  sadrže obračunate pomoći proračunskim korisnicima iz proračuna koji im nije nadležan, odnosno potraživanja prema MZOM -u za plaću 3/2026, naknadu zbog nezapošljavanja osoba s invaliditetom 3/2026, TUR za 3/2026, mentorstvo iz prethodnih godina i nenaplaćena potraživanja po izdanim računima za zakup dvorane i ručak za učenike.</w:t>
      </w:r>
    </w:p>
    <w:p w:rsidR="00A276D9" w:rsidRDefault="00A276D9"/>
    <w:p w:rsidR="00A276D9" w:rsidRDefault="00D44536">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A276D9">
            <w:pPr>
              <w:keepNext/>
              <w:keepLines/>
              <w:spacing w:after="0" w:line="240" w:lineRule="auto"/>
            </w:pPr>
          </w:p>
        </w:tc>
        <w:tc>
          <w:tcPr>
            <w:tcW w:w="3180" w:type="dxa"/>
            <w:tcMar>
              <w:top w:w="0" w:type="dxa"/>
              <w:bottom w:w="0" w:type="dxa"/>
            </w:tcMar>
            <w:vAlign w:val="center"/>
          </w:tcPr>
          <w:p w:rsidR="00A276D9" w:rsidRDefault="00D44536">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A276D9" w:rsidRDefault="00D44536">
            <w:pPr>
              <w:keepNext/>
              <w:keepLines/>
              <w:spacing w:after="0" w:line="240" w:lineRule="auto"/>
            </w:pPr>
            <w:r>
              <w:rPr>
                <w:sz w:val="18"/>
              </w:rPr>
              <w:t>Y006</w:t>
            </w:r>
          </w:p>
        </w:tc>
        <w:tc>
          <w:tcPr>
            <w:tcW w:w="1860" w:type="dxa"/>
            <w:tcMar>
              <w:top w:w="0" w:type="dxa"/>
              <w:bottom w:w="0" w:type="dxa"/>
            </w:tcMar>
            <w:vAlign w:val="center"/>
          </w:tcPr>
          <w:p w:rsidR="00A276D9" w:rsidRDefault="00D44536">
            <w:pPr>
              <w:keepNext/>
              <w:keepLines/>
              <w:spacing w:after="0" w:line="240" w:lineRule="auto"/>
              <w:jc w:val="right"/>
            </w:pPr>
            <w:r>
              <w:rPr>
                <w:sz w:val="18"/>
              </w:rPr>
              <w:t>95.758,87</w:t>
            </w:r>
          </w:p>
        </w:tc>
        <w:tc>
          <w:tcPr>
            <w:tcW w:w="1860" w:type="dxa"/>
            <w:tcMar>
              <w:top w:w="0" w:type="dxa"/>
              <w:bottom w:w="0" w:type="dxa"/>
            </w:tcMar>
            <w:vAlign w:val="center"/>
          </w:tcPr>
          <w:p w:rsidR="00A276D9" w:rsidRDefault="00D44536">
            <w:pPr>
              <w:keepNext/>
              <w:keepLines/>
              <w:spacing w:after="0" w:line="240" w:lineRule="auto"/>
              <w:jc w:val="right"/>
            </w:pPr>
            <w:r>
              <w:rPr>
                <w:sz w:val="18"/>
              </w:rPr>
              <w:t>91.058,78</w:t>
            </w:r>
          </w:p>
        </w:tc>
        <w:tc>
          <w:tcPr>
            <w:tcW w:w="700" w:type="dxa"/>
            <w:tcMar>
              <w:top w:w="0" w:type="dxa"/>
              <w:bottom w:w="0" w:type="dxa"/>
            </w:tcMar>
            <w:vAlign w:val="center"/>
          </w:tcPr>
          <w:p w:rsidR="00A276D9" w:rsidRDefault="00D44536">
            <w:pPr>
              <w:keepNext/>
              <w:keepLines/>
              <w:spacing w:after="0" w:line="240" w:lineRule="auto"/>
              <w:jc w:val="right"/>
            </w:pPr>
            <w:r>
              <w:rPr>
                <w:sz w:val="18"/>
              </w:rPr>
              <w:t>95,1</w:t>
            </w:r>
          </w:p>
        </w:tc>
      </w:tr>
    </w:tbl>
    <w:p w:rsidR="00A276D9" w:rsidRDefault="00A276D9">
      <w:pPr>
        <w:spacing w:after="0"/>
      </w:pPr>
    </w:p>
    <w:p w:rsidR="00A276D9" w:rsidRDefault="00D44536">
      <w:r>
        <w:t>U ovom izvještajnom razdoblju ostvaren je višak prihoda poslovanja nad rashodima u iznosu 40.076,56 EUR. Međutim na referentnoj stranici prikazan je ukupni manjak prihoda za pokriće u sljedećem obračunskom razdoblju u iznosu 91.058,78 EUR 2026. godini što je rezultat pokrića prenesenog manjka prihoda iz 2025. godine u iznosu 131.135,34 EUR s navedenim ostvarenim viškom prihoda poslovanja.</w:t>
      </w:r>
    </w:p>
    <w:p w:rsidR="00A276D9" w:rsidRDefault="00A276D9"/>
    <w:p w:rsidR="00A276D9" w:rsidRDefault="00D44536">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11</w:t>
            </w:r>
          </w:p>
        </w:tc>
        <w:tc>
          <w:tcPr>
            <w:tcW w:w="3180" w:type="dxa"/>
            <w:tcMar>
              <w:top w:w="0" w:type="dxa"/>
              <w:bottom w:w="0" w:type="dxa"/>
            </w:tcMar>
            <w:vAlign w:val="center"/>
          </w:tcPr>
          <w:p w:rsidR="00A276D9" w:rsidRDefault="00D44536">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A276D9" w:rsidRDefault="00D44536">
            <w:pPr>
              <w:keepNext/>
              <w:keepLines/>
              <w:spacing w:after="0" w:line="240" w:lineRule="auto"/>
            </w:pPr>
            <w:r>
              <w:rPr>
                <w:sz w:val="18"/>
              </w:rPr>
              <w:t>11K</w:t>
            </w:r>
          </w:p>
        </w:tc>
        <w:tc>
          <w:tcPr>
            <w:tcW w:w="1860" w:type="dxa"/>
            <w:tcMar>
              <w:top w:w="0" w:type="dxa"/>
              <w:bottom w:w="0" w:type="dxa"/>
            </w:tcMar>
            <w:vAlign w:val="center"/>
          </w:tcPr>
          <w:p w:rsidR="00A276D9" w:rsidRDefault="00D44536">
            <w:pPr>
              <w:keepNext/>
              <w:keepLines/>
              <w:spacing w:after="0" w:line="240" w:lineRule="auto"/>
              <w:jc w:val="right"/>
            </w:pPr>
            <w:r>
              <w:rPr>
                <w:sz w:val="18"/>
              </w:rPr>
              <w:t>19.045,29</w:t>
            </w:r>
          </w:p>
        </w:tc>
        <w:tc>
          <w:tcPr>
            <w:tcW w:w="1860" w:type="dxa"/>
            <w:tcMar>
              <w:top w:w="0" w:type="dxa"/>
              <w:bottom w:w="0" w:type="dxa"/>
            </w:tcMar>
            <w:vAlign w:val="center"/>
          </w:tcPr>
          <w:p w:rsidR="00A276D9" w:rsidRDefault="00D44536">
            <w:pPr>
              <w:keepNext/>
              <w:keepLines/>
              <w:spacing w:after="0" w:line="240" w:lineRule="auto"/>
              <w:jc w:val="right"/>
            </w:pPr>
            <w:r>
              <w:rPr>
                <w:sz w:val="18"/>
              </w:rPr>
              <w:t>32.955,10</w:t>
            </w:r>
          </w:p>
        </w:tc>
        <w:tc>
          <w:tcPr>
            <w:tcW w:w="700" w:type="dxa"/>
            <w:tcMar>
              <w:top w:w="0" w:type="dxa"/>
              <w:bottom w:w="0" w:type="dxa"/>
            </w:tcMar>
            <w:vAlign w:val="center"/>
          </w:tcPr>
          <w:p w:rsidR="00A276D9" w:rsidRDefault="00D44536">
            <w:pPr>
              <w:keepNext/>
              <w:keepLines/>
              <w:spacing w:after="0" w:line="240" w:lineRule="auto"/>
              <w:jc w:val="right"/>
            </w:pPr>
            <w:r>
              <w:rPr>
                <w:sz w:val="18"/>
              </w:rPr>
              <w:t>173,0</w:t>
            </w:r>
          </w:p>
        </w:tc>
      </w:tr>
    </w:tbl>
    <w:p w:rsidR="00A276D9" w:rsidRDefault="00A276D9">
      <w:pPr>
        <w:spacing w:after="0"/>
      </w:pPr>
    </w:p>
    <w:p w:rsidR="00A276D9" w:rsidRDefault="00D44536">
      <w:r>
        <w:t>Stanje novčanih sredstava odgovara stanju na izvodu računa u poslovnoj banci na dan 31.03.2026. godine, 32.930,56 EUR. Stanje blagajne na 31.03.2026. godine iznosi 24,54 EUR.</w:t>
      </w:r>
    </w:p>
    <w:p w:rsidR="00A276D9" w:rsidRDefault="00A276D9"/>
    <w:p w:rsidR="00A276D9" w:rsidRDefault="00D44536">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63612</w:t>
            </w:r>
          </w:p>
        </w:tc>
        <w:tc>
          <w:tcPr>
            <w:tcW w:w="3180" w:type="dxa"/>
            <w:tcMar>
              <w:top w:w="0" w:type="dxa"/>
              <w:bottom w:w="0" w:type="dxa"/>
            </w:tcMar>
            <w:vAlign w:val="center"/>
          </w:tcPr>
          <w:p w:rsidR="00A276D9" w:rsidRDefault="00D44536">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rsidR="00A276D9" w:rsidRDefault="00D44536">
            <w:pPr>
              <w:keepNext/>
              <w:keepLines/>
              <w:spacing w:after="0" w:line="240" w:lineRule="auto"/>
            </w:pPr>
            <w:r>
              <w:rPr>
                <w:sz w:val="18"/>
              </w:rPr>
              <w:t>63612</w:t>
            </w:r>
          </w:p>
        </w:tc>
        <w:tc>
          <w:tcPr>
            <w:tcW w:w="1860" w:type="dxa"/>
            <w:tcMar>
              <w:top w:w="0" w:type="dxa"/>
              <w:bottom w:w="0" w:type="dxa"/>
            </w:tcMar>
            <w:vAlign w:val="center"/>
          </w:tcPr>
          <w:p w:rsidR="00A276D9" w:rsidRDefault="00D44536">
            <w:pPr>
              <w:keepNext/>
              <w:keepLines/>
              <w:spacing w:after="0" w:line="240" w:lineRule="auto"/>
              <w:jc w:val="right"/>
            </w:pPr>
            <w:r>
              <w:rPr>
                <w:sz w:val="18"/>
              </w:rPr>
              <w:t>280.954,87</w:t>
            </w:r>
          </w:p>
        </w:tc>
        <w:tc>
          <w:tcPr>
            <w:tcW w:w="1860" w:type="dxa"/>
            <w:tcMar>
              <w:top w:w="0" w:type="dxa"/>
              <w:bottom w:w="0" w:type="dxa"/>
            </w:tcMar>
            <w:vAlign w:val="center"/>
          </w:tcPr>
          <w:p w:rsidR="00A276D9" w:rsidRDefault="00D44536">
            <w:pPr>
              <w:keepNext/>
              <w:keepLines/>
              <w:spacing w:after="0" w:line="240" w:lineRule="auto"/>
              <w:jc w:val="right"/>
            </w:pPr>
            <w:r>
              <w:rPr>
                <w:sz w:val="18"/>
              </w:rPr>
              <w:t>320.281,05</w:t>
            </w:r>
          </w:p>
        </w:tc>
        <w:tc>
          <w:tcPr>
            <w:tcW w:w="700" w:type="dxa"/>
            <w:tcMar>
              <w:top w:w="0" w:type="dxa"/>
              <w:bottom w:w="0" w:type="dxa"/>
            </w:tcMar>
            <w:vAlign w:val="center"/>
          </w:tcPr>
          <w:p w:rsidR="00A276D9" w:rsidRDefault="00D44536">
            <w:pPr>
              <w:keepNext/>
              <w:keepLines/>
              <w:spacing w:after="0" w:line="240" w:lineRule="auto"/>
              <w:jc w:val="right"/>
            </w:pPr>
            <w:r>
              <w:rPr>
                <w:sz w:val="18"/>
              </w:rPr>
              <w:t>114,0</w:t>
            </w:r>
          </w:p>
        </w:tc>
      </w:tr>
    </w:tbl>
    <w:p w:rsidR="00A276D9" w:rsidRDefault="00A276D9">
      <w:pPr>
        <w:spacing w:after="0"/>
      </w:pPr>
    </w:p>
    <w:p w:rsidR="00A276D9" w:rsidRDefault="00D44536">
      <w:r>
        <w:t>Tekuće pomoći proračunskim korisnicima iz proračuna koji im nije nadležan sadrže prihode MZOM za obavljanje redovne osnovnoškolske djelatnosti.</w:t>
      </w:r>
    </w:p>
    <w:p w:rsidR="00A276D9" w:rsidRDefault="00A276D9"/>
    <w:p w:rsidR="00A276D9" w:rsidRDefault="00D44536">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276D9">
        <w:trPr>
          <w:cantSplit/>
        </w:trPr>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276D9" w:rsidRDefault="00D44536">
            <w:pPr>
              <w:keepNext/>
              <w:keepLines/>
              <w:spacing w:after="0" w:line="240" w:lineRule="auto"/>
              <w:jc w:val="center"/>
            </w:pPr>
            <w:r>
              <w:rPr>
                <w:b/>
                <w:sz w:val="18"/>
              </w:rPr>
              <w:t>Indeks (%)</w:t>
            </w:r>
          </w:p>
        </w:tc>
      </w:tr>
      <w:tr w:rsidR="00A276D9">
        <w:trPr>
          <w:cantSplit/>
          <w:trHeight w:val="560"/>
        </w:trPr>
        <w:tc>
          <w:tcPr>
            <w:tcW w:w="700" w:type="dxa"/>
            <w:tcMar>
              <w:top w:w="0" w:type="dxa"/>
              <w:bottom w:w="0" w:type="dxa"/>
            </w:tcMar>
            <w:vAlign w:val="center"/>
          </w:tcPr>
          <w:p w:rsidR="00A276D9" w:rsidRDefault="00D44536">
            <w:pPr>
              <w:keepNext/>
              <w:keepLines/>
              <w:spacing w:after="0" w:line="240" w:lineRule="auto"/>
            </w:pPr>
            <w:r>
              <w:rPr>
                <w:sz w:val="18"/>
              </w:rPr>
              <w:t>63613</w:t>
            </w:r>
          </w:p>
        </w:tc>
        <w:tc>
          <w:tcPr>
            <w:tcW w:w="3180" w:type="dxa"/>
            <w:tcMar>
              <w:top w:w="0" w:type="dxa"/>
              <w:bottom w:w="0" w:type="dxa"/>
            </w:tcMar>
            <w:vAlign w:val="center"/>
          </w:tcPr>
          <w:p w:rsidR="00A276D9" w:rsidRDefault="00D44536">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A276D9" w:rsidRDefault="00D44536">
            <w:pPr>
              <w:keepNext/>
              <w:keepLines/>
              <w:spacing w:after="0" w:line="240" w:lineRule="auto"/>
            </w:pPr>
            <w:r>
              <w:rPr>
                <w:sz w:val="18"/>
              </w:rPr>
              <w:t>63613</w:t>
            </w:r>
          </w:p>
        </w:tc>
        <w:tc>
          <w:tcPr>
            <w:tcW w:w="1860" w:type="dxa"/>
            <w:tcMar>
              <w:top w:w="0" w:type="dxa"/>
              <w:bottom w:w="0" w:type="dxa"/>
            </w:tcMar>
            <w:vAlign w:val="center"/>
          </w:tcPr>
          <w:p w:rsidR="00A276D9" w:rsidRDefault="00D44536">
            <w:pPr>
              <w:keepNext/>
              <w:keepLines/>
              <w:spacing w:after="0" w:line="240" w:lineRule="auto"/>
              <w:jc w:val="right"/>
            </w:pPr>
            <w:r>
              <w:rPr>
                <w:sz w:val="18"/>
              </w:rPr>
              <w:t>508,09</w:t>
            </w:r>
          </w:p>
        </w:tc>
        <w:tc>
          <w:tcPr>
            <w:tcW w:w="1860" w:type="dxa"/>
            <w:tcMar>
              <w:top w:w="0" w:type="dxa"/>
              <w:bottom w:w="0" w:type="dxa"/>
            </w:tcMar>
            <w:vAlign w:val="center"/>
          </w:tcPr>
          <w:p w:rsidR="00A276D9" w:rsidRDefault="00D44536">
            <w:pPr>
              <w:keepNext/>
              <w:keepLines/>
              <w:spacing w:after="0" w:line="240" w:lineRule="auto"/>
              <w:jc w:val="right"/>
            </w:pPr>
            <w:r>
              <w:rPr>
                <w:sz w:val="18"/>
              </w:rPr>
              <w:t>513,84</w:t>
            </w:r>
          </w:p>
        </w:tc>
        <w:tc>
          <w:tcPr>
            <w:tcW w:w="700" w:type="dxa"/>
            <w:tcMar>
              <w:top w:w="0" w:type="dxa"/>
              <w:bottom w:w="0" w:type="dxa"/>
            </w:tcMar>
            <w:vAlign w:val="center"/>
          </w:tcPr>
          <w:p w:rsidR="00A276D9" w:rsidRDefault="00D44536">
            <w:pPr>
              <w:keepNext/>
              <w:keepLines/>
              <w:spacing w:after="0" w:line="240" w:lineRule="auto"/>
              <w:jc w:val="right"/>
            </w:pPr>
            <w:r>
              <w:rPr>
                <w:sz w:val="18"/>
              </w:rPr>
              <w:t>101,1</w:t>
            </w:r>
          </w:p>
        </w:tc>
      </w:tr>
    </w:tbl>
    <w:p w:rsidR="00A276D9" w:rsidRDefault="00A276D9">
      <w:pPr>
        <w:spacing w:after="0"/>
      </w:pPr>
    </w:p>
    <w:p w:rsidR="00A276D9" w:rsidRDefault="00D44536">
      <w:r>
        <w:t>Prihod Varaždinske županije za financiranje natjecanja na županijskoj razini koje se odvija u školi.</w:t>
      </w:r>
    </w:p>
    <w:p w:rsidR="00A276D9" w:rsidRDefault="00A276D9"/>
    <w:sectPr w:rsidR="00A27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D9"/>
    <w:rsid w:val="009D1E04"/>
    <w:rsid w:val="00A276D9"/>
    <w:rsid w:val="00D44536"/>
    <w:rsid w:val="00EC0C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88B65-DB04-4732-89C8-CF85011B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2276</Words>
  <Characters>12974</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2026-04-15T12:24:00Z</dcterms:created>
  <dcterms:modified xsi:type="dcterms:W3CDTF">2026-04-15T12:24:00Z</dcterms:modified>
</cp:coreProperties>
</file>