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50835">
        <w:trPr>
          <w:tblCellSpacing w:w="60" w:type="dxa"/>
        </w:trPr>
        <w:tc>
          <w:tcPr>
            <w:tcW w:w="1200" w:type="pct"/>
            <w:shd w:val="clear" w:color="auto" w:fill="E7F0F9"/>
          </w:tcPr>
          <w:p w:rsidR="00B50835" w:rsidRDefault="00210FEE">
            <w:pPr>
              <w:spacing w:after="0" w:line="240" w:lineRule="auto"/>
            </w:pPr>
            <w:bookmarkStart w:id="0" w:name="_GoBack"/>
            <w:bookmarkEnd w:id="0"/>
            <w:r>
              <w:rPr>
                <w:b/>
              </w:rPr>
              <w:t>RKP broj</w:t>
            </w:r>
          </w:p>
        </w:tc>
        <w:tc>
          <w:tcPr>
            <w:tcW w:w="0" w:type="auto"/>
            <w:shd w:val="clear" w:color="auto" w:fill="E7F0F9"/>
          </w:tcPr>
          <w:p w:rsidR="00B50835" w:rsidRDefault="00210FEE">
            <w:pPr>
              <w:spacing w:after="0" w:line="240" w:lineRule="auto"/>
            </w:pPr>
            <w:r>
              <w:t>14058</w:t>
            </w:r>
          </w:p>
        </w:tc>
      </w:tr>
      <w:tr w:rsidR="00B50835">
        <w:trPr>
          <w:tblCellSpacing w:w="60" w:type="dxa"/>
        </w:trPr>
        <w:tc>
          <w:tcPr>
            <w:tcW w:w="1200" w:type="pct"/>
            <w:shd w:val="clear" w:color="auto" w:fill="E7F0F9"/>
          </w:tcPr>
          <w:p w:rsidR="00B50835" w:rsidRDefault="00210FEE">
            <w:pPr>
              <w:spacing w:after="0" w:line="240" w:lineRule="auto"/>
            </w:pPr>
            <w:r>
              <w:rPr>
                <w:b/>
              </w:rPr>
              <w:t>Naziv obveznika</w:t>
            </w:r>
          </w:p>
        </w:tc>
        <w:tc>
          <w:tcPr>
            <w:tcW w:w="0" w:type="auto"/>
            <w:shd w:val="clear" w:color="auto" w:fill="E7F0F9"/>
          </w:tcPr>
          <w:p w:rsidR="00B50835" w:rsidRDefault="00210FEE">
            <w:pPr>
              <w:spacing w:after="0" w:line="240" w:lineRule="auto"/>
            </w:pPr>
            <w:r>
              <w:t>VII. O.Š. VARAŽDIN</w:t>
            </w:r>
          </w:p>
        </w:tc>
      </w:tr>
      <w:tr w:rsidR="00B50835">
        <w:trPr>
          <w:tblCellSpacing w:w="60" w:type="dxa"/>
        </w:trPr>
        <w:tc>
          <w:tcPr>
            <w:tcW w:w="1200" w:type="pct"/>
            <w:shd w:val="clear" w:color="auto" w:fill="E7F0F9"/>
          </w:tcPr>
          <w:p w:rsidR="00B50835" w:rsidRDefault="00210FEE">
            <w:pPr>
              <w:spacing w:after="0" w:line="240" w:lineRule="auto"/>
            </w:pPr>
            <w:r>
              <w:rPr>
                <w:b/>
              </w:rPr>
              <w:t>Razina</w:t>
            </w:r>
          </w:p>
        </w:tc>
        <w:tc>
          <w:tcPr>
            <w:tcW w:w="0" w:type="auto"/>
            <w:shd w:val="clear" w:color="auto" w:fill="E7F0F9"/>
          </w:tcPr>
          <w:p w:rsidR="00B50835" w:rsidRDefault="00210FEE">
            <w:pPr>
              <w:spacing w:after="0" w:line="240" w:lineRule="auto"/>
            </w:pPr>
            <w:r>
              <w:t>31</w:t>
            </w:r>
          </w:p>
        </w:tc>
      </w:tr>
    </w:tbl>
    <w:p w:rsidR="00B50835" w:rsidRDefault="00210FEE">
      <w:r>
        <w:br/>
      </w:r>
    </w:p>
    <w:p w:rsidR="00B50835" w:rsidRDefault="00210FEE">
      <w:pPr>
        <w:spacing w:line="240" w:lineRule="auto"/>
        <w:jc w:val="center"/>
      </w:pPr>
      <w:r>
        <w:rPr>
          <w:b/>
          <w:sz w:val="28"/>
        </w:rPr>
        <w:t>BILJEŠKE UZ FINANCIJSKE IZVJEŠTAJE</w:t>
      </w:r>
    </w:p>
    <w:p w:rsidR="00B50835" w:rsidRDefault="00210FEE">
      <w:pPr>
        <w:spacing w:line="240" w:lineRule="auto"/>
        <w:jc w:val="center"/>
      </w:pPr>
      <w:r>
        <w:rPr>
          <w:b/>
          <w:sz w:val="28"/>
        </w:rPr>
        <w:t>ZA RAZDOBLJE</w:t>
      </w:r>
    </w:p>
    <w:p w:rsidR="00B50835" w:rsidRDefault="00210FEE">
      <w:pPr>
        <w:spacing w:line="240" w:lineRule="auto"/>
        <w:jc w:val="center"/>
      </w:pPr>
      <w:r>
        <w:rPr>
          <w:b/>
          <w:sz w:val="28"/>
        </w:rPr>
        <w:t>I - IX 2025.</w:t>
      </w:r>
    </w:p>
    <w:p w:rsidR="00B50835" w:rsidRDefault="00B50835"/>
    <w:p w:rsidR="00B50835" w:rsidRDefault="00210FEE">
      <w:pPr>
        <w:keepNext/>
        <w:spacing w:line="240" w:lineRule="auto"/>
        <w:jc w:val="center"/>
      </w:pPr>
      <w:r>
        <w:rPr>
          <w:b/>
          <w:sz w:val="28"/>
        </w:rPr>
        <w:t>Izvještaj o prihodima i rashodima, primicima i izdacima</w:t>
      </w:r>
    </w:p>
    <w:p w:rsidR="00B50835" w:rsidRDefault="00210FE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6</w:t>
            </w:r>
          </w:p>
        </w:tc>
        <w:tc>
          <w:tcPr>
            <w:tcW w:w="3180" w:type="dxa"/>
            <w:tcMar>
              <w:top w:w="0" w:type="dxa"/>
              <w:bottom w:w="0" w:type="dxa"/>
            </w:tcMar>
            <w:vAlign w:val="center"/>
          </w:tcPr>
          <w:p w:rsidR="00B50835" w:rsidRDefault="00210FEE">
            <w:pPr>
              <w:keepNext/>
              <w:keepLines/>
              <w:spacing w:after="0" w:line="240" w:lineRule="auto"/>
            </w:pPr>
            <w:r>
              <w:rPr>
                <w:sz w:val="18"/>
              </w:rPr>
              <w:t>PRIHODI POSLOVANJA (šifre 61+62+63+64+65+66+67+68)</w:t>
            </w:r>
          </w:p>
        </w:tc>
        <w:tc>
          <w:tcPr>
            <w:tcW w:w="700" w:type="dxa"/>
            <w:tcMar>
              <w:top w:w="0" w:type="dxa"/>
              <w:bottom w:w="0" w:type="dxa"/>
            </w:tcMar>
            <w:vAlign w:val="center"/>
          </w:tcPr>
          <w:p w:rsidR="00B50835" w:rsidRDefault="00210FEE">
            <w:pPr>
              <w:keepNext/>
              <w:keepLines/>
              <w:spacing w:after="0" w:line="240" w:lineRule="auto"/>
            </w:pPr>
            <w:r>
              <w:rPr>
                <w:sz w:val="18"/>
              </w:rPr>
              <w:t>6</w:t>
            </w:r>
          </w:p>
        </w:tc>
        <w:tc>
          <w:tcPr>
            <w:tcW w:w="1860" w:type="dxa"/>
            <w:tcMar>
              <w:top w:w="0" w:type="dxa"/>
              <w:bottom w:w="0" w:type="dxa"/>
            </w:tcMar>
            <w:vAlign w:val="center"/>
          </w:tcPr>
          <w:p w:rsidR="00B50835" w:rsidRDefault="00210FEE">
            <w:pPr>
              <w:keepNext/>
              <w:keepLines/>
              <w:spacing w:after="0" w:line="240" w:lineRule="auto"/>
              <w:jc w:val="right"/>
            </w:pPr>
            <w:r>
              <w:rPr>
                <w:sz w:val="18"/>
              </w:rPr>
              <w:t>1.059.042,71</w:t>
            </w:r>
          </w:p>
        </w:tc>
        <w:tc>
          <w:tcPr>
            <w:tcW w:w="1860" w:type="dxa"/>
            <w:tcMar>
              <w:top w:w="0" w:type="dxa"/>
              <w:bottom w:w="0" w:type="dxa"/>
            </w:tcMar>
            <w:vAlign w:val="center"/>
          </w:tcPr>
          <w:p w:rsidR="00B50835" w:rsidRDefault="00210FEE">
            <w:pPr>
              <w:keepNext/>
              <w:keepLines/>
              <w:spacing w:after="0" w:line="240" w:lineRule="auto"/>
              <w:jc w:val="right"/>
            </w:pPr>
            <w:r>
              <w:rPr>
                <w:sz w:val="18"/>
              </w:rPr>
              <w:t>1.100.352,53</w:t>
            </w:r>
          </w:p>
        </w:tc>
        <w:tc>
          <w:tcPr>
            <w:tcW w:w="700" w:type="dxa"/>
            <w:tcMar>
              <w:top w:w="0" w:type="dxa"/>
              <w:bottom w:w="0" w:type="dxa"/>
            </w:tcMar>
            <w:vAlign w:val="center"/>
          </w:tcPr>
          <w:p w:rsidR="00B50835" w:rsidRDefault="00210FEE">
            <w:pPr>
              <w:keepNext/>
              <w:keepLines/>
              <w:spacing w:after="0" w:line="240" w:lineRule="auto"/>
              <w:jc w:val="right"/>
            </w:pPr>
            <w:r>
              <w:rPr>
                <w:sz w:val="18"/>
              </w:rPr>
              <w:t>103,9</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w:t>
            </w:r>
          </w:p>
        </w:tc>
        <w:tc>
          <w:tcPr>
            <w:tcW w:w="3180" w:type="dxa"/>
            <w:tcMar>
              <w:top w:w="0" w:type="dxa"/>
              <w:bottom w:w="0" w:type="dxa"/>
            </w:tcMar>
            <w:vAlign w:val="center"/>
          </w:tcPr>
          <w:p w:rsidR="00B50835" w:rsidRDefault="00210FEE">
            <w:pPr>
              <w:keepNext/>
              <w:keepLines/>
              <w:spacing w:after="0" w:line="240" w:lineRule="auto"/>
            </w:pPr>
            <w:r>
              <w:rPr>
                <w:sz w:val="18"/>
              </w:rPr>
              <w:t>RASHODI POSLOVANJA (šifre 31+32+34+35+36+37+38)</w:t>
            </w:r>
          </w:p>
        </w:tc>
        <w:tc>
          <w:tcPr>
            <w:tcW w:w="700" w:type="dxa"/>
            <w:tcMar>
              <w:top w:w="0" w:type="dxa"/>
              <w:bottom w:w="0" w:type="dxa"/>
            </w:tcMar>
            <w:vAlign w:val="center"/>
          </w:tcPr>
          <w:p w:rsidR="00B50835" w:rsidRDefault="00210FEE">
            <w:pPr>
              <w:keepNext/>
              <w:keepLines/>
              <w:spacing w:after="0" w:line="240" w:lineRule="auto"/>
            </w:pPr>
            <w:r>
              <w:rPr>
                <w:sz w:val="18"/>
              </w:rPr>
              <w:t>3</w:t>
            </w:r>
          </w:p>
        </w:tc>
        <w:tc>
          <w:tcPr>
            <w:tcW w:w="1860" w:type="dxa"/>
            <w:tcMar>
              <w:top w:w="0" w:type="dxa"/>
              <w:bottom w:w="0" w:type="dxa"/>
            </w:tcMar>
            <w:vAlign w:val="center"/>
          </w:tcPr>
          <w:p w:rsidR="00B50835" w:rsidRDefault="00210FEE">
            <w:pPr>
              <w:keepNext/>
              <w:keepLines/>
              <w:spacing w:after="0" w:line="240" w:lineRule="auto"/>
              <w:jc w:val="right"/>
            </w:pPr>
            <w:r>
              <w:rPr>
                <w:sz w:val="18"/>
              </w:rPr>
              <w:t>992.131,84</w:t>
            </w:r>
          </w:p>
        </w:tc>
        <w:tc>
          <w:tcPr>
            <w:tcW w:w="1860" w:type="dxa"/>
            <w:tcMar>
              <w:top w:w="0" w:type="dxa"/>
              <w:bottom w:w="0" w:type="dxa"/>
            </w:tcMar>
            <w:vAlign w:val="center"/>
          </w:tcPr>
          <w:p w:rsidR="00B50835" w:rsidRDefault="00210FEE">
            <w:pPr>
              <w:keepNext/>
              <w:keepLines/>
              <w:spacing w:after="0" w:line="240" w:lineRule="auto"/>
              <w:jc w:val="right"/>
            </w:pPr>
            <w:r>
              <w:rPr>
                <w:sz w:val="18"/>
              </w:rPr>
              <w:t>1.156.830,68</w:t>
            </w:r>
          </w:p>
        </w:tc>
        <w:tc>
          <w:tcPr>
            <w:tcW w:w="700" w:type="dxa"/>
            <w:tcMar>
              <w:top w:w="0" w:type="dxa"/>
              <w:bottom w:w="0" w:type="dxa"/>
            </w:tcMar>
            <w:vAlign w:val="center"/>
          </w:tcPr>
          <w:p w:rsidR="00B50835" w:rsidRDefault="00210FEE">
            <w:pPr>
              <w:keepNext/>
              <w:keepLines/>
              <w:spacing w:after="0" w:line="240" w:lineRule="auto"/>
              <w:jc w:val="right"/>
            </w:pPr>
            <w:r>
              <w:rPr>
                <w:sz w:val="18"/>
              </w:rPr>
              <w:t>116,6</w:t>
            </w:r>
          </w:p>
        </w:tc>
      </w:tr>
      <w:tr w:rsidR="00B50835">
        <w:trPr>
          <w:cantSplit/>
          <w:trHeight w:val="560"/>
        </w:trPr>
        <w:tc>
          <w:tcPr>
            <w:tcW w:w="700" w:type="dxa"/>
            <w:tcMar>
              <w:top w:w="0" w:type="dxa"/>
              <w:bottom w:w="0" w:type="dxa"/>
            </w:tcMar>
            <w:vAlign w:val="center"/>
          </w:tcPr>
          <w:p w:rsidR="00B50835" w:rsidRDefault="00B50835">
            <w:pPr>
              <w:keepNext/>
              <w:keepLines/>
              <w:spacing w:after="0" w:line="240" w:lineRule="auto"/>
            </w:pPr>
          </w:p>
        </w:tc>
        <w:tc>
          <w:tcPr>
            <w:tcW w:w="3180" w:type="dxa"/>
            <w:tcMar>
              <w:top w:w="0" w:type="dxa"/>
              <w:bottom w:w="0" w:type="dxa"/>
            </w:tcMar>
            <w:vAlign w:val="center"/>
          </w:tcPr>
          <w:p w:rsidR="00B50835" w:rsidRDefault="00210FEE">
            <w:pPr>
              <w:keepNext/>
              <w:keepLines/>
              <w:spacing w:after="0" w:line="240" w:lineRule="auto"/>
            </w:pPr>
            <w:r>
              <w:rPr>
                <w:b/>
                <w:sz w:val="18"/>
              </w:rPr>
              <w:t>MANJAK PRIHODA POSLOVANJA (šifre Z005-6)</w:t>
            </w:r>
          </w:p>
        </w:tc>
        <w:tc>
          <w:tcPr>
            <w:tcW w:w="700" w:type="dxa"/>
            <w:tcMar>
              <w:top w:w="0" w:type="dxa"/>
              <w:bottom w:w="0" w:type="dxa"/>
            </w:tcMar>
            <w:vAlign w:val="center"/>
          </w:tcPr>
          <w:p w:rsidR="00B50835" w:rsidRDefault="00210FEE">
            <w:pPr>
              <w:keepNext/>
              <w:keepLines/>
              <w:spacing w:after="0" w:line="240" w:lineRule="auto"/>
            </w:pPr>
            <w:r>
              <w:rPr>
                <w:b/>
                <w:sz w:val="18"/>
              </w:rPr>
              <w:t>Y001</w:t>
            </w:r>
          </w:p>
        </w:tc>
        <w:tc>
          <w:tcPr>
            <w:tcW w:w="1860" w:type="dxa"/>
            <w:tcMar>
              <w:top w:w="0" w:type="dxa"/>
              <w:bottom w:w="0" w:type="dxa"/>
            </w:tcMar>
            <w:vAlign w:val="center"/>
          </w:tcPr>
          <w:p w:rsidR="00B50835" w:rsidRDefault="00210FEE">
            <w:pPr>
              <w:keepNext/>
              <w:keepLines/>
              <w:spacing w:after="0" w:line="240" w:lineRule="auto"/>
              <w:jc w:val="right"/>
            </w:pPr>
            <w:r>
              <w:rPr>
                <w:b/>
                <w:sz w:val="18"/>
              </w:rPr>
              <w:t>0,00</w:t>
            </w:r>
          </w:p>
        </w:tc>
        <w:tc>
          <w:tcPr>
            <w:tcW w:w="1860" w:type="dxa"/>
            <w:tcMar>
              <w:top w:w="0" w:type="dxa"/>
              <w:bottom w:w="0" w:type="dxa"/>
            </w:tcMar>
            <w:vAlign w:val="center"/>
          </w:tcPr>
          <w:p w:rsidR="00B50835" w:rsidRDefault="00210FEE">
            <w:pPr>
              <w:keepNext/>
              <w:keepLines/>
              <w:spacing w:after="0" w:line="240" w:lineRule="auto"/>
              <w:jc w:val="right"/>
            </w:pPr>
            <w:r>
              <w:rPr>
                <w:b/>
                <w:sz w:val="18"/>
              </w:rPr>
              <w:t>56.478,15</w:t>
            </w:r>
          </w:p>
        </w:tc>
        <w:tc>
          <w:tcPr>
            <w:tcW w:w="700" w:type="dxa"/>
            <w:tcMar>
              <w:top w:w="0" w:type="dxa"/>
              <w:bottom w:w="0" w:type="dxa"/>
            </w:tcMar>
            <w:vAlign w:val="center"/>
          </w:tcPr>
          <w:p w:rsidR="00B50835" w:rsidRDefault="00210FEE">
            <w:pPr>
              <w:keepNext/>
              <w:keepLines/>
              <w:spacing w:after="0" w:line="240" w:lineRule="auto"/>
              <w:jc w:val="right"/>
            </w:pPr>
            <w:r>
              <w:rPr>
                <w:b/>
                <w:sz w:val="18"/>
              </w:rPr>
              <w:t>-</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7</w:t>
            </w:r>
          </w:p>
        </w:tc>
        <w:tc>
          <w:tcPr>
            <w:tcW w:w="3180" w:type="dxa"/>
            <w:tcMar>
              <w:top w:w="0" w:type="dxa"/>
              <w:bottom w:w="0" w:type="dxa"/>
            </w:tcMar>
            <w:vAlign w:val="center"/>
          </w:tcPr>
          <w:p w:rsidR="00B50835" w:rsidRDefault="00210FE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50835" w:rsidRDefault="00210FEE">
            <w:pPr>
              <w:keepNext/>
              <w:keepLines/>
              <w:spacing w:after="0" w:line="240" w:lineRule="auto"/>
            </w:pPr>
            <w:r>
              <w:rPr>
                <w:sz w:val="18"/>
              </w:rPr>
              <w:t>7</w:t>
            </w:r>
          </w:p>
        </w:tc>
        <w:tc>
          <w:tcPr>
            <w:tcW w:w="1860" w:type="dxa"/>
            <w:tcMar>
              <w:top w:w="0" w:type="dxa"/>
              <w:bottom w:w="0" w:type="dxa"/>
            </w:tcMar>
            <w:vAlign w:val="center"/>
          </w:tcPr>
          <w:p w:rsidR="00B50835" w:rsidRDefault="00210FEE">
            <w:pPr>
              <w:keepNext/>
              <w:keepLines/>
              <w:spacing w:after="0" w:line="240" w:lineRule="auto"/>
              <w:jc w:val="right"/>
            </w:pPr>
            <w:r>
              <w:rPr>
                <w:sz w:val="18"/>
              </w:rPr>
              <w:t>0,00</w:t>
            </w:r>
          </w:p>
        </w:tc>
        <w:tc>
          <w:tcPr>
            <w:tcW w:w="1860" w:type="dxa"/>
            <w:tcMar>
              <w:top w:w="0" w:type="dxa"/>
              <w:bottom w:w="0" w:type="dxa"/>
            </w:tcMar>
            <w:vAlign w:val="center"/>
          </w:tcPr>
          <w:p w:rsidR="00B50835" w:rsidRDefault="00210FEE">
            <w:pPr>
              <w:keepNext/>
              <w:keepLines/>
              <w:spacing w:after="0" w:line="240" w:lineRule="auto"/>
              <w:jc w:val="right"/>
            </w:pPr>
            <w:r>
              <w:rPr>
                <w:sz w:val="18"/>
              </w:rPr>
              <w:t>0,00</w:t>
            </w:r>
          </w:p>
        </w:tc>
        <w:tc>
          <w:tcPr>
            <w:tcW w:w="700" w:type="dxa"/>
            <w:tcMar>
              <w:top w:w="0" w:type="dxa"/>
              <w:bottom w:w="0" w:type="dxa"/>
            </w:tcMar>
            <w:vAlign w:val="center"/>
          </w:tcPr>
          <w:p w:rsidR="00B50835" w:rsidRDefault="00210FEE">
            <w:pPr>
              <w:keepNext/>
              <w:keepLines/>
              <w:spacing w:after="0" w:line="240" w:lineRule="auto"/>
              <w:jc w:val="right"/>
            </w:pPr>
            <w:r>
              <w:rPr>
                <w:sz w:val="18"/>
              </w:rPr>
              <w:t>-</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4</w:t>
            </w:r>
          </w:p>
        </w:tc>
        <w:tc>
          <w:tcPr>
            <w:tcW w:w="3180" w:type="dxa"/>
            <w:tcMar>
              <w:top w:w="0" w:type="dxa"/>
              <w:bottom w:w="0" w:type="dxa"/>
            </w:tcMar>
            <w:vAlign w:val="center"/>
          </w:tcPr>
          <w:p w:rsidR="00B50835" w:rsidRDefault="00210FE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50835" w:rsidRDefault="00210FEE">
            <w:pPr>
              <w:keepNext/>
              <w:keepLines/>
              <w:spacing w:after="0" w:line="240" w:lineRule="auto"/>
            </w:pPr>
            <w:r>
              <w:rPr>
                <w:sz w:val="18"/>
              </w:rPr>
              <w:t>4</w:t>
            </w:r>
          </w:p>
        </w:tc>
        <w:tc>
          <w:tcPr>
            <w:tcW w:w="1860" w:type="dxa"/>
            <w:tcMar>
              <w:top w:w="0" w:type="dxa"/>
              <w:bottom w:w="0" w:type="dxa"/>
            </w:tcMar>
            <w:vAlign w:val="center"/>
          </w:tcPr>
          <w:p w:rsidR="00B50835" w:rsidRDefault="00210FEE">
            <w:pPr>
              <w:keepNext/>
              <w:keepLines/>
              <w:spacing w:after="0" w:line="240" w:lineRule="auto"/>
              <w:jc w:val="right"/>
            </w:pPr>
            <w:r>
              <w:rPr>
                <w:sz w:val="18"/>
              </w:rPr>
              <w:t>66.934,21</w:t>
            </w:r>
          </w:p>
        </w:tc>
        <w:tc>
          <w:tcPr>
            <w:tcW w:w="1860" w:type="dxa"/>
            <w:tcMar>
              <w:top w:w="0" w:type="dxa"/>
              <w:bottom w:w="0" w:type="dxa"/>
            </w:tcMar>
            <w:vAlign w:val="center"/>
          </w:tcPr>
          <w:p w:rsidR="00B50835" w:rsidRDefault="00210FEE">
            <w:pPr>
              <w:keepNext/>
              <w:keepLines/>
              <w:spacing w:after="0" w:line="240" w:lineRule="auto"/>
              <w:jc w:val="right"/>
            </w:pPr>
            <w:r>
              <w:rPr>
                <w:sz w:val="18"/>
              </w:rPr>
              <w:t>42.055,86</w:t>
            </w:r>
          </w:p>
        </w:tc>
        <w:tc>
          <w:tcPr>
            <w:tcW w:w="700" w:type="dxa"/>
            <w:tcMar>
              <w:top w:w="0" w:type="dxa"/>
              <w:bottom w:w="0" w:type="dxa"/>
            </w:tcMar>
            <w:vAlign w:val="center"/>
          </w:tcPr>
          <w:p w:rsidR="00B50835" w:rsidRDefault="00210FEE">
            <w:pPr>
              <w:keepNext/>
              <w:keepLines/>
              <w:spacing w:after="0" w:line="240" w:lineRule="auto"/>
              <w:jc w:val="right"/>
            </w:pPr>
            <w:r>
              <w:rPr>
                <w:sz w:val="18"/>
              </w:rPr>
              <w:t>62,8</w:t>
            </w:r>
          </w:p>
        </w:tc>
      </w:tr>
      <w:tr w:rsidR="00B50835">
        <w:trPr>
          <w:cantSplit/>
          <w:trHeight w:val="560"/>
        </w:trPr>
        <w:tc>
          <w:tcPr>
            <w:tcW w:w="700" w:type="dxa"/>
            <w:tcMar>
              <w:top w:w="0" w:type="dxa"/>
              <w:bottom w:w="0" w:type="dxa"/>
            </w:tcMar>
            <w:vAlign w:val="center"/>
          </w:tcPr>
          <w:p w:rsidR="00B50835" w:rsidRDefault="00B50835">
            <w:pPr>
              <w:keepNext/>
              <w:keepLines/>
              <w:spacing w:after="0" w:line="240" w:lineRule="auto"/>
            </w:pPr>
          </w:p>
        </w:tc>
        <w:tc>
          <w:tcPr>
            <w:tcW w:w="3180" w:type="dxa"/>
            <w:tcMar>
              <w:top w:w="0" w:type="dxa"/>
              <w:bottom w:w="0" w:type="dxa"/>
            </w:tcMar>
            <w:vAlign w:val="center"/>
          </w:tcPr>
          <w:p w:rsidR="00B50835" w:rsidRDefault="00210FE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50835" w:rsidRDefault="00210FEE">
            <w:pPr>
              <w:keepNext/>
              <w:keepLines/>
              <w:spacing w:after="0" w:line="240" w:lineRule="auto"/>
            </w:pPr>
            <w:r>
              <w:rPr>
                <w:b/>
                <w:sz w:val="18"/>
              </w:rPr>
              <w:t>Y002</w:t>
            </w:r>
          </w:p>
        </w:tc>
        <w:tc>
          <w:tcPr>
            <w:tcW w:w="1860" w:type="dxa"/>
            <w:tcMar>
              <w:top w:w="0" w:type="dxa"/>
              <w:bottom w:w="0" w:type="dxa"/>
            </w:tcMar>
            <w:vAlign w:val="center"/>
          </w:tcPr>
          <w:p w:rsidR="00B50835" w:rsidRDefault="00210FEE">
            <w:pPr>
              <w:keepNext/>
              <w:keepLines/>
              <w:spacing w:after="0" w:line="240" w:lineRule="auto"/>
              <w:jc w:val="right"/>
            </w:pPr>
            <w:r>
              <w:rPr>
                <w:b/>
                <w:sz w:val="18"/>
              </w:rPr>
              <w:t>66.934,21</w:t>
            </w:r>
          </w:p>
        </w:tc>
        <w:tc>
          <w:tcPr>
            <w:tcW w:w="1860" w:type="dxa"/>
            <w:tcMar>
              <w:top w:w="0" w:type="dxa"/>
              <w:bottom w:w="0" w:type="dxa"/>
            </w:tcMar>
            <w:vAlign w:val="center"/>
          </w:tcPr>
          <w:p w:rsidR="00B50835" w:rsidRDefault="00210FEE">
            <w:pPr>
              <w:keepNext/>
              <w:keepLines/>
              <w:spacing w:after="0" w:line="240" w:lineRule="auto"/>
              <w:jc w:val="right"/>
            </w:pPr>
            <w:r>
              <w:rPr>
                <w:b/>
                <w:sz w:val="18"/>
              </w:rPr>
              <w:t>42.055,86</w:t>
            </w:r>
          </w:p>
        </w:tc>
        <w:tc>
          <w:tcPr>
            <w:tcW w:w="700" w:type="dxa"/>
            <w:tcMar>
              <w:top w:w="0" w:type="dxa"/>
              <w:bottom w:w="0" w:type="dxa"/>
            </w:tcMar>
            <w:vAlign w:val="center"/>
          </w:tcPr>
          <w:p w:rsidR="00B50835" w:rsidRDefault="00210FEE">
            <w:pPr>
              <w:keepNext/>
              <w:keepLines/>
              <w:spacing w:after="0" w:line="240" w:lineRule="auto"/>
              <w:jc w:val="right"/>
            </w:pPr>
            <w:r>
              <w:rPr>
                <w:b/>
                <w:sz w:val="18"/>
              </w:rPr>
              <w:t>62,8</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8</w:t>
            </w:r>
          </w:p>
        </w:tc>
        <w:tc>
          <w:tcPr>
            <w:tcW w:w="3180" w:type="dxa"/>
            <w:tcMar>
              <w:top w:w="0" w:type="dxa"/>
              <w:bottom w:w="0" w:type="dxa"/>
            </w:tcMar>
            <w:vAlign w:val="center"/>
          </w:tcPr>
          <w:p w:rsidR="00B50835" w:rsidRDefault="00210FE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50835" w:rsidRDefault="00210FEE">
            <w:pPr>
              <w:keepNext/>
              <w:keepLines/>
              <w:spacing w:after="0" w:line="240" w:lineRule="auto"/>
            </w:pPr>
            <w:r>
              <w:rPr>
                <w:sz w:val="18"/>
              </w:rPr>
              <w:t>8</w:t>
            </w:r>
          </w:p>
        </w:tc>
        <w:tc>
          <w:tcPr>
            <w:tcW w:w="1860" w:type="dxa"/>
            <w:tcMar>
              <w:top w:w="0" w:type="dxa"/>
              <w:bottom w:w="0" w:type="dxa"/>
            </w:tcMar>
            <w:vAlign w:val="center"/>
          </w:tcPr>
          <w:p w:rsidR="00B50835" w:rsidRDefault="00210FEE">
            <w:pPr>
              <w:keepNext/>
              <w:keepLines/>
              <w:spacing w:after="0" w:line="240" w:lineRule="auto"/>
              <w:jc w:val="right"/>
            </w:pPr>
            <w:r>
              <w:rPr>
                <w:sz w:val="18"/>
              </w:rPr>
              <w:t>0,00</w:t>
            </w:r>
          </w:p>
        </w:tc>
        <w:tc>
          <w:tcPr>
            <w:tcW w:w="1860" w:type="dxa"/>
            <w:tcMar>
              <w:top w:w="0" w:type="dxa"/>
              <w:bottom w:w="0" w:type="dxa"/>
            </w:tcMar>
            <w:vAlign w:val="center"/>
          </w:tcPr>
          <w:p w:rsidR="00B50835" w:rsidRDefault="00210FEE">
            <w:pPr>
              <w:keepNext/>
              <w:keepLines/>
              <w:spacing w:after="0" w:line="240" w:lineRule="auto"/>
              <w:jc w:val="right"/>
            </w:pPr>
            <w:r>
              <w:rPr>
                <w:sz w:val="18"/>
              </w:rPr>
              <w:t>0,00</w:t>
            </w:r>
          </w:p>
        </w:tc>
        <w:tc>
          <w:tcPr>
            <w:tcW w:w="700" w:type="dxa"/>
            <w:tcMar>
              <w:top w:w="0" w:type="dxa"/>
              <w:bottom w:w="0" w:type="dxa"/>
            </w:tcMar>
            <w:vAlign w:val="center"/>
          </w:tcPr>
          <w:p w:rsidR="00B50835" w:rsidRDefault="00210FEE">
            <w:pPr>
              <w:keepNext/>
              <w:keepLines/>
              <w:spacing w:after="0" w:line="240" w:lineRule="auto"/>
              <w:jc w:val="right"/>
            </w:pPr>
            <w:r>
              <w:rPr>
                <w:sz w:val="18"/>
              </w:rPr>
              <w:t>-</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5</w:t>
            </w:r>
          </w:p>
        </w:tc>
        <w:tc>
          <w:tcPr>
            <w:tcW w:w="3180" w:type="dxa"/>
            <w:tcMar>
              <w:top w:w="0" w:type="dxa"/>
              <w:bottom w:w="0" w:type="dxa"/>
            </w:tcMar>
            <w:vAlign w:val="center"/>
          </w:tcPr>
          <w:p w:rsidR="00B50835" w:rsidRDefault="00210F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50835" w:rsidRDefault="00210FEE">
            <w:pPr>
              <w:keepNext/>
              <w:keepLines/>
              <w:spacing w:after="0" w:line="240" w:lineRule="auto"/>
            </w:pPr>
            <w:r>
              <w:rPr>
                <w:sz w:val="18"/>
              </w:rPr>
              <w:t>5</w:t>
            </w:r>
          </w:p>
        </w:tc>
        <w:tc>
          <w:tcPr>
            <w:tcW w:w="1860" w:type="dxa"/>
            <w:tcMar>
              <w:top w:w="0" w:type="dxa"/>
              <w:bottom w:w="0" w:type="dxa"/>
            </w:tcMar>
            <w:vAlign w:val="center"/>
          </w:tcPr>
          <w:p w:rsidR="00B50835" w:rsidRDefault="00210FEE">
            <w:pPr>
              <w:keepNext/>
              <w:keepLines/>
              <w:spacing w:after="0" w:line="240" w:lineRule="auto"/>
              <w:jc w:val="right"/>
            </w:pPr>
            <w:r>
              <w:rPr>
                <w:sz w:val="18"/>
              </w:rPr>
              <w:t>0,00</w:t>
            </w:r>
          </w:p>
        </w:tc>
        <w:tc>
          <w:tcPr>
            <w:tcW w:w="1860" w:type="dxa"/>
            <w:tcMar>
              <w:top w:w="0" w:type="dxa"/>
              <w:bottom w:w="0" w:type="dxa"/>
            </w:tcMar>
            <w:vAlign w:val="center"/>
          </w:tcPr>
          <w:p w:rsidR="00B50835" w:rsidRDefault="00210FEE">
            <w:pPr>
              <w:keepNext/>
              <w:keepLines/>
              <w:spacing w:after="0" w:line="240" w:lineRule="auto"/>
              <w:jc w:val="right"/>
            </w:pPr>
            <w:r>
              <w:rPr>
                <w:sz w:val="18"/>
              </w:rPr>
              <w:t>0,00</w:t>
            </w:r>
          </w:p>
        </w:tc>
        <w:tc>
          <w:tcPr>
            <w:tcW w:w="700" w:type="dxa"/>
            <w:tcMar>
              <w:top w:w="0" w:type="dxa"/>
              <w:bottom w:w="0" w:type="dxa"/>
            </w:tcMar>
            <w:vAlign w:val="center"/>
          </w:tcPr>
          <w:p w:rsidR="00B50835" w:rsidRDefault="00210FEE">
            <w:pPr>
              <w:keepNext/>
              <w:keepLines/>
              <w:spacing w:after="0" w:line="240" w:lineRule="auto"/>
              <w:jc w:val="right"/>
            </w:pPr>
            <w:r>
              <w:rPr>
                <w:sz w:val="18"/>
              </w:rPr>
              <w:t>-</w:t>
            </w:r>
          </w:p>
        </w:tc>
      </w:tr>
      <w:tr w:rsidR="00B50835">
        <w:trPr>
          <w:cantSplit/>
          <w:trHeight w:val="560"/>
        </w:trPr>
        <w:tc>
          <w:tcPr>
            <w:tcW w:w="700" w:type="dxa"/>
            <w:tcMar>
              <w:top w:w="0" w:type="dxa"/>
              <w:bottom w:w="0" w:type="dxa"/>
            </w:tcMar>
            <w:vAlign w:val="center"/>
          </w:tcPr>
          <w:p w:rsidR="00B50835" w:rsidRDefault="00B50835">
            <w:pPr>
              <w:keepNext/>
              <w:keepLines/>
              <w:spacing w:after="0" w:line="240" w:lineRule="auto"/>
            </w:pPr>
          </w:p>
        </w:tc>
        <w:tc>
          <w:tcPr>
            <w:tcW w:w="3180" w:type="dxa"/>
            <w:tcMar>
              <w:top w:w="0" w:type="dxa"/>
              <w:bottom w:w="0" w:type="dxa"/>
            </w:tcMar>
            <w:vAlign w:val="center"/>
          </w:tcPr>
          <w:p w:rsidR="00B50835" w:rsidRDefault="00210FE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B50835" w:rsidRDefault="00210FEE">
            <w:pPr>
              <w:keepNext/>
              <w:keepLines/>
              <w:spacing w:after="0" w:line="240" w:lineRule="auto"/>
            </w:pPr>
            <w:r>
              <w:rPr>
                <w:b/>
                <w:sz w:val="18"/>
              </w:rPr>
              <w:t>X003, Y003</w:t>
            </w:r>
          </w:p>
        </w:tc>
        <w:tc>
          <w:tcPr>
            <w:tcW w:w="1860" w:type="dxa"/>
            <w:tcMar>
              <w:top w:w="0" w:type="dxa"/>
              <w:bottom w:w="0" w:type="dxa"/>
            </w:tcMar>
            <w:vAlign w:val="center"/>
          </w:tcPr>
          <w:p w:rsidR="00B50835" w:rsidRDefault="00210FEE">
            <w:pPr>
              <w:keepNext/>
              <w:keepLines/>
              <w:spacing w:after="0" w:line="240" w:lineRule="auto"/>
              <w:jc w:val="right"/>
            </w:pPr>
            <w:r>
              <w:rPr>
                <w:b/>
                <w:sz w:val="18"/>
              </w:rPr>
              <w:t>0,00</w:t>
            </w:r>
          </w:p>
        </w:tc>
        <w:tc>
          <w:tcPr>
            <w:tcW w:w="1860" w:type="dxa"/>
            <w:tcMar>
              <w:top w:w="0" w:type="dxa"/>
              <w:bottom w:w="0" w:type="dxa"/>
            </w:tcMar>
            <w:vAlign w:val="center"/>
          </w:tcPr>
          <w:p w:rsidR="00B50835" w:rsidRDefault="00210FEE">
            <w:pPr>
              <w:keepNext/>
              <w:keepLines/>
              <w:spacing w:after="0" w:line="240" w:lineRule="auto"/>
              <w:jc w:val="right"/>
            </w:pPr>
            <w:r>
              <w:rPr>
                <w:b/>
                <w:sz w:val="18"/>
              </w:rPr>
              <w:t>0,00</w:t>
            </w:r>
          </w:p>
        </w:tc>
        <w:tc>
          <w:tcPr>
            <w:tcW w:w="700" w:type="dxa"/>
            <w:tcMar>
              <w:top w:w="0" w:type="dxa"/>
              <w:bottom w:w="0" w:type="dxa"/>
            </w:tcMar>
            <w:vAlign w:val="center"/>
          </w:tcPr>
          <w:p w:rsidR="00B50835" w:rsidRDefault="00210FEE">
            <w:pPr>
              <w:keepNext/>
              <w:keepLines/>
              <w:spacing w:after="0" w:line="240" w:lineRule="auto"/>
              <w:jc w:val="right"/>
            </w:pPr>
            <w:r>
              <w:rPr>
                <w:b/>
                <w:sz w:val="18"/>
              </w:rPr>
              <w:t>-</w:t>
            </w:r>
          </w:p>
        </w:tc>
      </w:tr>
      <w:tr w:rsidR="00B50835">
        <w:trPr>
          <w:cantSplit/>
          <w:trHeight w:val="560"/>
        </w:trPr>
        <w:tc>
          <w:tcPr>
            <w:tcW w:w="700" w:type="dxa"/>
            <w:tcMar>
              <w:top w:w="0" w:type="dxa"/>
              <w:bottom w:w="0" w:type="dxa"/>
            </w:tcMar>
            <w:vAlign w:val="center"/>
          </w:tcPr>
          <w:p w:rsidR="00B50835" w:rsidRDefault="00B50835">
            <w:pPr>
              <w:keepNext/>
              <w:keepLines/>
              <w:spacing w:after="0" w:line="240" w:lineRule="auto"/>
            </w:pPr>
          </w:p>
        </w:tc>
        <w:tc>
          <w:tcPr>
            <w:tcW w:w="3180" w:type="dxa"/>
            <w:tcMar>
              <w:top w:w="0" w:type="dxa"/>
              <w:bottom w:w="0" w:type="dxa"/>
            </w:tcMar>
            <w:vAlign w:val="center"/>
          </w:tcPr>
          <w:p w:rsidR="00B50835" w:rsidRDefault="00210FEE">
            <w:pPr>
              <w:keepNext/>
              <w:keepLines/>
              <w:spacing w:after="0" w:line="240" w:lineRule="auto"/>
            </w:pPr>
            <w:r>
              <w:rPr>
                <w:b/>
                <w:sz w:val="18"/>
              </w:rPr>
              <w:t>MANJAK PRIHODA I PRIMITAKA (šifre Y345-X678)</w:t>
            </w:r>
          </w:p>
        </w:tc>
        <w:tc>
          <w:tcPr>
            <w:tcW w:w="700" w:type="dxa"/>
            <w:tcMar>
              <w:top w:w="0" w:type="dxa"/>
              <w:bottom w:w="0" w:type="dxa"/>
            </w:tcMar>
            <w:vAlign w:val="center"/>
          </w:tcPr>
          <w:p w:rsidR="00B50835" w:rsidRDefault="00210FEE">
            <w:pPr>
              <w:keepNext/>
              <w:keepLines/>
              <w:spacing w:after="0" w:line="240" w:lineRule="auto"/>
            </w:pPr>
            <w:r>
              <w:rPr>
                <w:b/>
                <w:sz w:val="18"/>
              </w:rPr>
              <w:t>Y005</w:t>
            </w:r>
          </w:p>
        </w:tc>
        <w:tc>
          <w:tcPr>
            <w:tcW w:w="1860" w:type="dxa"/>
            <w:tcMar>
              <w:top w:w="0" w:type="dxa"/>
              <w:bottom w:w="0" w:type="dxa"/>
            </w:tcMar>
            <w:vAlign w:val="center"/>
          </w:tcPr>
          <w:p w:rsidR="00B50835" w:rsidRDefault="00210FEE">
            <w:pPr>
              <w:keepNext/>
              <w:keepLines/>
              <w:spacing w:after="0" w:line="240" w:lineRule="auto"/>
              <w:jc w:val="right"/>
            </w:pPr>
            <w:r>
              <w:rPr>
                <w:b/>
                <w:sz w:val="18"/>
              </w:rPr>
              <w:t>23,34</w:t>
            </w:r>
          </w:p>
        </w:tc>
        <w:tc>
          <w:tcPr>
            <w:tcW w:w="1860" w:type="dxa"/>
            <w:tcMar>
              <w:top w:w="0" w:type="dxa"/>
              <w:bottom w:w="0" w:type="dxa"/>
            </w:tcMar>
            <w:vAlign w:val="center"/>
          </w:tcPr>
          <w:p w:rsidR="00B50835" w:rsidRDefault="00210FEE">
            <w:pPr>
              <w:keepNext/>
              <w:keepLines/>
              <w:spacing w:after="0" w:line="240" w:lineRule="auto"/>
              <w:jc w:val="right"/>
            </w:pPr>
            <w:r>
              <w:rPr>
                <w:b/>
                <w:sz w:val="18"/>
              </w:rPr>
              <w:t>98.534,01</w:t>
            </w:r>
          </w:p>
        </w:tc>
        <w:tc>
          <w:tcPr>
            <w:tcW w:w="700" w:type="dxa"/>
            <w:tcMar>
              <w:top w:w="0" w:type="dxa"/>
              <w:bottom w:w="0" w:type="dxa"/>
            </w:tcMar>
            <w:vAlign w:val="center"/>
          </w:tcPr>
          <w:p w:rsidR="00B50835" w:rsidRDefault="00210FEE">
            <w:pPr>
              <w:keepNext/>
              <w:keepLines/>
              <w:spacing w:after="0" w:line="240" w:lineRule="auto"/>
              <w:jc w:val="right"/>
            </w:pPr>
            <w:r>
              <w:rPr>
                <w:b/>
                <w:sz w:val="18"/>
              </w:rPr>
              <w:t>&gt;&gt;100</w:t>
            </w:r>
          </w:p>
        </w:tc>
      </w:tr>
    </w:tbl>
    <w:p w:rsidR="00B50835" w:rsidRDefault="00B50835">
      <w:pPr>
        <w:spacing w:after="0"/>
      </w:pPr>
    </w:p>
    <w:p w:rsidR="00B50835" w:rsidRDefault="00210FEE">
      <w:pPr>
        <w:spacing w:line="240" w:lineRule="auto"/>
        <w:jc w:val="both"/>
      </w:pPr>
      <w:r>
        <w:t xml:space="preserve">Prihodi ostvareni u ovom izvještajnom razdoblju iznose 1.100.352,53 EUR i najvećim dijelom uključene su Tekuće pomoći iz državnog proračuna (63612) iznosa 856.896,66 EUR i odnose se na prihode za plaće i materijalna prava zaposlenih. Ostale pomoći 63 iznosa 508,09 EUR odnos se na pomoć od Varaždinske županije za rashode natjecanja iz njemačkog jezika na županijskoj razini. Slijedeća veća stavka u strukturi prihoda su prihodi od nadležnog proračuna osnivača škole Grada Varaždina u iznosu 205.174,14 EUR a odnose se na financiranje materijalnih rashoda u iznosu 168.424,58 EUR( 6711) i na financiranje rashoda </w:t>
      </w:r>
      <w:r>
        <w:lastRenderedPageBreak/>
        <w:t xml:space="preserve">za nabavu nefinancijske imovine u iznosu 36.749,56 EUR (6712). Prihodi od sufinanciranja ručka, osiguranja učenika iznose 31.806,00 EUR (65264). Prihodi od zakupa dvorane iznose 5.292,01 (661). Prihodi od kapitalnih donacija iznose 35,68 EUR (663). Ostali nespomenuti prihodi odnose se na prihode učeničke zadruga od prodaje radova iznosa 639,95 EUR (65269). Rashodi ostvareni o ovom izvještajnom razdoblju iznose 1.156.830,68 EUR i najvećim dijelom sadrže rashode za zaposlene (plaće i materijalna prava)-31=1.156.830,68 EUR, zatim materijalne rashode-32=147.670,36 EUR. Ostali rashodi su financijski rashodi 34=343,30 EUR, naknade građanima tj. sufinanciranje prijevoza 37221=172,80 EUR i sufinanciranje radnih udžbenika (MZOM) i radnih materijala (osnivač Grad </w:t>
      </w:r>
      <w:proofErr w:type="spellStart"/>
      <w:r>
        <w:t>Varaždi</w:t>
      </w:r>
      <w:proofErr w:type="spellEnd"/>
      <w:r>
        <w:t>) 37229=28.752,29 EUR, tekuće donacije u naravi tj. menstrualne higijenske potrepštine 38=500,00 EUR. Značajnu stavku u strukturi rashoda imaju rashodi za nabavu nefinancijske imovine iznosa 42.055,86 EUR od toga je nabavljena oprema u iznosu 19.612,11 EUR i dodatno se ulagalo na građevinskom objektu u iznosu 22.443,75 EUR. Manjak prihoda poslovanja uglavnom se odnosi na plaće za rujan koje su isplaćene od 9.10. (94.944,18 EUR od MZOM)do 15.10.( 8.254,87 EUR od Grada Varaždina). Ostali manjak prihoda odnosi se na neplaćene račune od dobavljača koje plaća osnivač i u trenutku naplate se evidentiraju prihodi (671). Svi računi plaćeni su početkom listopada po redovnoj naplati prema dospijeću računa.</w:t>
      </w:r>
    </w:p>
    <w:p w:rsidR="00B50835" w:rsidRDefault="00210FEE">
      <w:r>
        <w:br/>
      </w:r>
    </w:p>
    <w:p w:rsidR="00B50835" w:rsidRDefault="00210FE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661</w:t>
            </w:r>
          </w:p>
        </w:tc>
        <w:tc>
          <w:tcPr>
            <w:tcW w:w="3180" w:type="dxa"/>
            <w:tcMar>
              <w:top w:w="0" w:type="dxa"/>
              <w:bottom w:w="0" w:type="dxa"/>
            </w:tcMar>
            <w:vAlign w:val="center"/>
          </w:tcPr>
          <w:p w:rsidR="00B50835" w:rsidRDefault="00210FEE">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B50835" w:rsidRDefault="00210FEE">
            <w:pPr>
              <w:keepNext/>
              <w:keepLines/>
              <w:spacing w:after="0" w:line="240" w:lineRule="auto"/>
            </w:pPr>
            <w:r>
              <w:rPr>
                <w:sz w:val="18"/>
              </w:rPr>
              <w:t>661</w:t>
            </w:r>
          </w:p>
        </w:tc>
        <w:tc>
          <w:tcPr>
            <w:tcW w:w="1860" w:type="dxa"/>
            <w:tcMar>
              <w:top w:w="0" w:type="dxa"/>
              <w:bottom w:w="0" w:type="dxa"/>
            </w:tcMar>
            <w:vAlign w:val="center"/>
          </w:tcPr>
          <w:p w:rsidR="00B50835" w:rsidRDefault="00210FEE">
            <w:pPr>
              <w:keepNext/>
              <w:keepLines/>
              <w:spacing w:after="0" w:line="240" w:lineRule="auto"/>
              <w:jc w:val="right"/>
            </w:pPr>
            <w:r>
              <w:rPr>
                <w:sz w:val="18"/>
              </w:rPr>
              <w:t>3.710,07</w:t>
            </w:r>
          </w:p>
        </w:tc>
        <w:tc>
          <w:tcPr>
            <w:tcW w:w="1860" w:type="dxa"/>
            <w:tcMar>
              <w:top w:w="0" w:type="dxa"/>
              <w:bottom w:w="0" w:type="dxa"/>
            </w:tcMar>
            <w:vAlign w:val="center"/>
          </w:tcPr>
          <w:p w:rsidR="00B50835" w:rsidRDefault="00210FEE">
            <w:pPr>
              <w:keepNext/>
              <w:keepLines/>
              <w:spacing w:after="0" w:line="240" w:lineRule="auto"/>
              <w:jc w:val="right"/>
            </w:pPr>
            <w:r>
              <w:rPr>
                <w:sz w:val="18"/>
              </w:rPr>
              <w:t>5.292,01</w:t>
            </w:r>
          </w:p>
        </w:tc>
        <w:tc>
          <w:tcPr>
            <w:tcW w:w="700" w:type="dxa"/>
            <w:tcMar>
              <w:top w:w="0" w:type="dxa"/>
              <w:bottom w:w="0" w:type="dxa"/>
            </w:tcMar>
            <w:vAlign w:val="center"/>
          </w:tcPr>
          <w:p w:rsidR="00B50835" w:rsidRDefault="00210FEE">
            <w:pPr>
              <w:keepNext/>
              <w:keepLines/>
              <w:spacing w:after="0" w:line="240" w:lineRule="auto"/>
              <w:jc w:val="right"/>
            </w:pPr>
            <w:r>
              <w:rPr>
                <w:sz w:val="18"/>
              </w:rPr>
              <w:t>142,6</w:t>
            </w:r>
          </w:p>
        </w:tc>
      </w:tr>
    </w:tbl>
    <w:p w:rsidR="00B50835" w:rsidRDefault="00B50835">
      <w:pPr>
        <w:spacing w:after="0"/>
      </w:pPr>
    </w:p>
    <w:p w:rsidR="00B50835" w:rsidRDefault="00210FEE">
      <w:pPr>
        <w:spacing w:line="240" w:lineRule="auto"/>
        <w:jc w:val="both"/>
      </w:pPr>
      <w:r>
        <w:t>Prihodi se odnose na zakup dvorane prema Ugovorima o zakupu sa zakupnicima prema cjeniku kojeg je odredio Osnivač.</w:t>
      </w:r>
    </w:p>
    <w:p w:rsidR="00B50835" w:rsidRDefault="00B50835"/>
    <w:p w:rsidR="00B50835" w:rsidRDefault="00210FE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663</w:t>
            </w:r>
          </w:p>
        </w:tc>
        <w:tc>
          <w:tcPr>
            <w:tcW w:w="3180" w:type="dxa"/>
            <w:tcMar>
              <w:top w:w="0" w:type="dxa"/>
              <w:bottom w:w="0" w:type="dxa"/>
            </w:tcMar>
            <w:vAlign w:val="center"/>
          </w:tcPr>
          <w:p w:rsidR="00B50835" w:rsidRDefault="00210FEE">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B50835" w:rsidRDefault="00210FEE">
            <w:pPr>
              <w:keepNext/>
              <w:keepLines/>
              <w:spacing w:after="0" w:line="240" w:lineRule="auto"/>
            </w:pPr>
            <w:r>
              <w:rPr>
                <w:sz w:val="18"/>
              </w:rPr>
              <w:t>663</w:t>
            </w:r>
          </w:p>
        </w:tc>
        <w:tc>
          <w:tcPr>
            <w:tcW w:w="1860" w:type="dxa"/>
            <w:tcMar>
              <w:top w:w="0" w:type="dxa"/>
              <w:bottom w:w="0" w:type="dxa"/>
            </w:tcMar>
            <w:vAlign w:val="center"/>
          </w:tcPr>
          <w:p w:rsidR="00B50835" w:rsidRDefault="00210FEE">
            <w:pPr>
              <w:keepNext/>
              <w:keepLines/>
              <w:spacing w:after="0" w:line="240" w:lineRule="auto"/>
              <w:jc w:val="right"/>
            </w:pPr>
            <w:r>
              <w:rPr>
                <w:sz w:val="18"/>
              </w:rPr>
              <w:t>131,22</w:t>
            </w:r>
          </w:p>
        </w:tc>
        <w:tc>
          <w:tcPr>
            <w:tcW w:w="1860" w:type="dxa"/>
            <w:tcMar>
              <w:top w:w="0" w:type="dxa"/>
              <w:bottom w:w="0" w:type="dxa"/>
            </w:tcMar>
            <w:vAlign w:val="center"/>
          </w:tcPr>
          <w:p w:rsidR="00B50835" w:rsidRDefault="00210FEE">
            <w:pPr>
              <w:keepNext/>
              <w:keepLines/>
              <w:spacing w:after="0" w:line="240" w:lineRule="auto"/>
              <w:jc w:val="right"/>
            </w:pPr>
            <w:r>
              <w:rPr>
                <w:sz w:val="18"/>
              </w:rPr>
              <w:t>35,68</w:t>
            </w:r>
          </w:p>
        </w:tc>
        <w:tc>
          <w:tcPr>
            <w:tcW w:w="700" w:type="dxa"/>
            <w:tcMar>
              <w:top w:w="0" w:type="dxa"/>
              <w:bottom w:w="0" w:type="dxa"/>
            </w:tcMar>
            <w:vAlign w:val="center"/>
          </w:tcPr>
          <w:p w:rsidR="00B50835" w:rsidRDefault="00210FEE">
            <w:pPr>
              <w:keepNext/>
              <w:keepLines/>
              <w:spacing w:after="0" w:line="240" w:lineRule="auto"/>
              <w:jc w:val="right"/>
            </w:pPr>
            <w:r>
              <w:rPr>
                <w:sz w:val="18"/>
              </w:rPr>
              <w:t>27,2</w:t>
            </w:r>
          </w:p>
        </w:tc>
      </w:tr>
    </w:tbl>
    <w:p w:rsidR="00B50835" w:rsidRDefault="00B50835">
      <w:pPr>
        <w:spacing w:after="0"/>
      </w:pPr>
    </w:p>
    <w:p w:rsidR="00B50835" w:rsidRDefault="00210FEE">
      <w:pPr>
        <w:spacing w:line="240" w:lineRule="auto"/>
        <w:jc w:val="both"/>
      </w:pPr>
      <w:r>
        <w:t>Donirane su knjige za školsku knjižnicu.</w:t>
      </w:r>
    </w:p>
    <w:p w:rsidR="00B50835" w:rsidRDefault="00B50835"/>
    <w:p w:rsidR="00B50835" w:rsidRDefault="00210FEE">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6632</w:t>
            </w:r>
          </w:p>
        </w:tc>
        <w:tc>
          <w:tcPr>
            <w:tcW w:w="3180" w:type="dxa"/>
            <w:tcMar>
              <w:top w:w="0" w:type="dxa"/>
              <w:bottom w:w="0" w:type="dxa"/>
            </w:tcMar>
            <w:vAlign w:val="center"/>
          </w:tcPr>
          <w:p w:rsidR="00B50835" w:rsidRDefault="00210FEE">
            <w:pPr>
              <w:keepNext/>
              <w:keepLines/>
              <w:spacing w:after="0" w:line="240" w:lineRule="auto"/>
            </w:pPr>
            <w:r>
              <w:rPr>
                <w:sz w:val="18"/>
              </w:rPr>
              <w:t>Kapitalne donacije</w:t>
            </w:r>
          </w:p>
        </w:tc>
        <w:tc>
          <w:tcPr>
            <w:tcW w:w="700" w:type="dxa"/>
            <w:tcMar>
              <w:top w:w="0" w:type="dxa"/>
              <w:bottom w:w="0" w:type="dxa"/>
            </w:tcMar>
            <w:vAlign w:val="center"/>
          </w:tcPr>
          <w:p w:rsidR="00B50835" w:rsidRDefault="00210FEE">
            <w:pPr>
              <w:keepNext/>
              <w:keepLines/>
              <w:spacing w:after="0" w:line="240" w:lineRule="auto"/>
            </w:pPr>
            <w:r>
              <w:rPr>
                <w:sz w:val="18"/>
              </w:rPr>
              <w:t>6632</w:t>
            </w:r>
          </w:p>
        </w:tc>
        <w:tc>
          <w:tcPr>
            <w:tcW w:w="1860" w:type="dxa"/>
            <w:tcMar>
              <w:top w:w="0" w:type="dxa"/>
              <w:bottom w:w="0" w:type="dxa"/>
            </w:tcMar>
            <w:vAlign w:val="center"/>
          </w:tcPr>
          <w:p w:rsidR="00B50835" w:rsidRDefault="00210FEE">
            <w:pPr>
              <w:keepNext/>
              <w:keepLines/>
              <w:spacing w:after="0" w:line="240" w:lineRule="auto"/>
              <w:jc w:val="right"/>
            </w:pPr>
            <w:r>
              <w:rPr>
                <w:sz w:val="18"/>
              </w:rPr>
              <w:t>131,22</w:t>
            </w:r>
          </w:p>
        </w:tc>
        <w:tc>
          <w:tcPr>
            <w:tcW w:w="1860" w:type="dxa"/>
            <w:tcMar>
              <w:top w:w="0" w:type="dxa"/>
              <w:bottom w:w="0" w:type="dxa"/>
            </w:tcMar>
            <w:vAlign w:val="center"/>
          </w:tcPr>
          <w:p w:rsidR="00B50835" w:rsidRDefault="00210FEE">
            <w:pPr>
              <w:keepNext/>
              <w:keepLines/>
              <w:spacing w:after="0" w:line="240" w:lineRule="auto"/>
              <w:jc w:val="right"/>
            </w:pPr>
            <w:r>
              <w:rPr>
                <w:sz w:val="18"/>
              </w:rPr>
              <w:t>35,68</w:t>
            </w:r>
          </w:p>
        </w:tc>
        <w:tc>
          <w:tcPr>
            <w:tcW w:w="700" w:type="dxa"/>
            <w:tcMar>
              <w:top w:w="0" w:type="dxa"/>
              <w:bottom w:w="0" w:type="dxa"/>
            </w:tcMar>
            <w:vAlign w:val="center"/>
          </w:tcPr>
          <w:p w:rsidR="00B50835" w:rsidRDefault="00210FEE">
            <w:pPr>
              <w:keepNext/>
              <w:keepLines/>
              <w:spacing w:after="0" w:line="240" w:lineRule="auto"/>
              <w:jc w:val="right"/>
            </w:pPr>
            <w:r>
              <w:rPr>
                <w:sz w:val="18"/>
              </w:rPr>
              <w:t>27,2</w:t>
            </w:r>
          </w:p>
        </w:tc>
      </w:tr>
    </w:tbl>
    <w:p w:rsidR="00B50835" w:rsidRDefault="00B50835">
      <w:pPr>
        <w:spacing w:after="0"/>
      </w:pPr>
    </w:p>
    <w:p w:rsidR="00B50835" w:rsidRDefault="00210FEE">
      <w:pPr>
        <w:spacing w:line="240" w:lineRule="auto"/>
        <w:jc w:val="both"/>
      </w:pPr>
      <w:r>
        <w:t>Donirane su knjige za školsku knjižnicu.</w:t>
      </w:r>
    </w:p>
    <w:p w:rsidR="00B50835" w:rsidRDefault="00B50835"/>
    <w:p w:rsidR="00B50835" w:rsidRDefault="00210FE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31</w:t>
            </w:r>
          </w:p>
        </w:tc>
        <w:tc>
          <w:tcPr>
            <w:tcW w:w="3180" w:type="dxa"/>
            <w:tcMar>
              <w:top w:w="0" w:type="dxa"/>
              <w:bottom w:w="0" w:type="dxa"/>
            </w:tcMar>
            <w:vAlign w:val="center"/>
          </w:tcPr>
          <w:p w:rsidR="00B50835" w:rsidRDefault="00210FEE">
            <w:pPr>
              <w:keepNext/>
              <w:keepLines/>
              <w:spacing w:after="0" w:line="240" w:lineRule="auto"/>
            </w:pPr>
            <w:r>
              <w:rPr>
                <w:sz w:val="18"/>
              </w:rPr>
              <w:t>Rashodi za zaposlene (šifre 311+312+313)</w:t>
            </w:r>
          </w:p>
        </w:tc>
        <w:tc>
          <w:tcPr>
            <w:tcW w:w="700" w:type="dxa"/>
            <w:tcMar>
              <w:top w:w="0" w:type="dxa"/>
              <w:bottom w:w="0" w:type="dxa"/>
            </w:tcMar>
            <w:vAlign w:val="center"/>
          </w:tcPr>
          <w:p w:rsidR="00B50835" w:rsidRDefault="00210FEE">
            <w:pPr>
              <w:keepNext/>
              <w:keepLines/>
              <w:spacing w:after="0" w:line="240" w:lineRule="auto"/>
            </w:pPr>
            <w:r>
              <w:rPr>
                <w:sz w:val="18"/>
              </w:rPr>
              <w:t>31</w:t>
            </w:r>
          </w:p>
        </w:tc>
        <w:tc>
          <w:tcPr>
            <w:tcW w:w="1860" w:type="dxa"/>
            <w:tcMar>
              <w:top w:w="0" w:type="dxa"/>
              <w:bottom w:w="0" w:type="dxa"/>
            </w:tcMar>
            <w:vAlign w:val="center"/>
          </w:tcPr>
          <w:p w:rsidR="00B50835" w:rsidRDefault="00210FEE">
            <w:pPr>
              <w:keepNext/>
              <w:keepLines/>
              <w:spacing w:after="0" w:line="240" w:lineRule="auto"/>
              <w:jc w:val="right"/>
            </w:pPr>
            <w:r>
              <w:rPr>
                <w:sz w:val="18"/>
              </w:rPr>
              <w:t>828.544,36</w:t>
            </w:r>
          </w:p>
        </w:tc>
        <w:tc>
          <w:tcPr>
            <w:tcW w:w="1860" w:type="dxa"/>
            <w:tcMar>
              <w:top w:w="0" w:type="dxa"/>
              <w:bottom w:w="0" w:type="dxa"/>
            </w:tcMar>
            <w:vAlign w:val="center"/>
          </w:tcPr>
          <w:p w:rsidR="00B50835" w:rsidRDefault="00210FEE">
            <w:pPr>
              <w:keepNext/>
              <w:keepLines/>
              <w:spacing w:after="0" w:line="240" w:lineRule="auto"/>
              <w:jc w:val="right"/>
            </w:pPr>
            <w:r>
              <w:rPr>
                <w:sz w:val="18"/>
              </w:rPr>
              <w:t>979.391,93</w:t>
            </w:r>
          </w:p>
        </w:tc>
        <w:tc>
          <w:tcPr>
            <w:tcW w:w="700" w:type="dxa"/>
            <w:tcMar>
              <w:top w:w="0" w:type="dxa"/>
              <w:bottom w:w="0" w:type="dxa"/>
            </w:tcMar>
            <w:vAlign w:val="center"/>
          </w:tcPr>
          <w:p w:rsidR="00B50835" w:rsidRDefault="00210FEE">
            <w:pPr>
              <w:keepNext/>
              <w:keepLines/>
              <w:spacing w:after="0" w:line="240" w:lineRule="auto"/>
              <w:jc w:val="right"/>
            </w:pPr>
            <w:r>
              <w:rPr>
                <w:sz w:val="18"/>
              </w:rPr>
              <w:t>118,2</w:t>
            </w:r>
          </w:p>
        </w:tc>
      </w:tr>
    </w:tbl>
    <w:p w:rsidR="00B50835" w:rsidRDefault="00B50835">
      <w:pPr>
        <w:spacing w:after="0"/>
      </w:pPr>
    </w:p>
    <w:p w:rsidR="00B50835" w:rsidRDefault="00210FEE">
      <w:pPr>
        <w:spacing w:line="240" w:lineRule="auto"/>
        <w:jc w:val="both"/>
      </w:pPr>
      <w:r>
        <w:t>Rashodi za zaposlene su povećani zbog rasta plaća sukladno povećanju osnovice u odnosu na prethodno izvještajno razdoblje.</w:t>
      </w:r>
    </w:p>
    <w:p w:rsidR="00B50835" w:rsidRDefault="00B50835"/>
    <w:p w:rsidR="00B50835" w:rsidRDefault="00210FE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3221</w:t>
            </w:r>
          </w:p>
        </w:tc>
        <w:tc>
          <w:tcPr>
            <w:tcW w:w="3180" w:type="dxa"/>
            <w:tcMar>
              <w:top w:w="0" w:type="dxa"/>
              <w:bottom w:w="0" w:type="dxa"/>
            </w:tcMar>
            <w:vAlign w:val="center"/>
          </w:tcPr>
          <w:p w:rsidR="00B50835" w:rsidRDefault="00210FEE">
            <w:pPr>
              <w:keepNext/>
              <w:keepLines/>
              <w:spacing w:after="0" w:line="240" w:lineRule="auto"/>
            </w:pPr>
            <w:r>
              <w:rPr>
                <w:sz w:val="18"/>
              </w:rPr>
              <w:t>Uredski materijal i ostali materijalni rashodi</w:t>
            </w:r>
          </w:p>
        </w:tc>
        <w:tc>
          <w:tcPr>
            <w:tcW w:w="700" w:type="dxa"/>
            <w:tcMar>
              <w:top w:w="0" w:type="dxa"/>
              <w:bottom w:w="0" w:type="dxa"/>
            </w:tcMar>
            <w:vAlign w:val="center"/>
          </w:tcPr>
          <w:p w:rsidR="00B50835" w:rsidRDefault="00210FEE">
            <w:pPr>
              <w:keepNext/>
              <w:keepLines/>
              <w:spacing w:after="0" w:line="240" w:lineRule="auto"/>
            </w:pPr>
            <w:r>
              <w:rPr>
                <w:sz w:val="18"/>
              </w:rPr>
              <w:t>3221</w:t>
            </w:r>
          </w:p>
        </w:tc>
        <w:tc>
          <w:tcPr>
            <w:tcW w:w="1860" w:type="dxa"/>
            <w:tcMar>
              <w:top w:w="0" w:type="dxa"/>
              <w:bottom w:w="0" w:type="dxa"/>
            </w:tcMar>
            <w:vAlign w:val="center"/>
          </w:tcPr>
          <w:p w:rsidR="00B50835" w:rsidRDefault="00210FEE">
            <w:pPr>
              <w:keepNext/>
              <w:keepLines/>
              <w:spacing w:after="0" w:line="240" w:lineRule="auto"/>
              <w:jc w:val="right"/>
            </w:pPr>
            <w:r>
              <w:rPr>
                <w:sz w:val="18"/>
              </w:rPr>
              <w:t>3.140,50</w:t>
            </w:r>
          </w:p>
        </w:tc>
        <w:tc>
          <w:tcPr>
            <w:tcW w:w="1860" w:type="dxa"/>
            <w:tcMar>
              <w:top w:w="0" w:type="dxa"/>
              <w:bottom w:w="0" w:type="dxa"/>
            </w:tcMar>
            <w:vAlign w:val="center"/>
          </w:tcPr>
          <w:p w:rsidR="00B50835" w:rsidRDefault="00210FEE">
            <w:pPr>
              <w:keepNext/>
              <w:keepLines/>
              <w:spacing w:after="0" w:line="240" w:lineRule="auto"/>
              <w:jc w:val="right"/>
            </w:pPr>
            <w:r>
              <w:rPr>
                <w:sz w:val="18"/>
              </w:rPr>
              <w:t>5.239,87</w:t>
            </w:r>
          </w:p>
        </w:tc>
        <w:tc>
          <w:tcPr>
            <w:tcW w:w="700" w:type="dxa"/>
            <w:tcMar>
              <w:top w:w="0" w:type="dxa"/>
              <w:bottom w:w="0" w:type="dxa"/>
            </w:tcMar>
            <w:vAlign w:val="center"/>
          </w:tcPr>
          <w:p w:rsidR="00B50835" w:rsidRDefault="00210FEE">
            <w:pPr>
              <w:keepNext/>
              <w:keepLines/>
              <w:spacing w:after="0" w:line="240" w:lineRule="auto"/>
              <w:jc w:val="right"/>
            </w:pPr>
            <w:r>
              <w:rPr>
                <w:sz w:val="18"/>
              </w:rPr>
              <w:t>166,8</w:t>
            </w:r>
          </w:p>
        </w:tc>
      </w:tr>
    </w:tbl>
    <w:p w:rsidR="00B50835" w:rsidRDefault="00B50835">
      <w:pPr>
        <w:spacing w:after="0"/>
      </w:pPr>
    </w:p>
    <w:p w:rsidR="00B50835" w:rsidRDefault="00210FEE">
      <w:pPr>
        <w:spacing w:line="240" w:lineRule="auto"/>
        <w:jc w:val="both"/>
      </w:pPr>
      <w:r>
        <w:t>Značajno je povećanje uredskog materijala zbog konstantnog poskupljenja sredstava za čišćenje i higijenskog materijala.</w:t>
      </w:r>
    </w:p>
    <w:p w:rsidR="00B50835" w:rsidRDefault="00B50835"/>
    <w:p w:rsidR="00B50835" w:rsidRDefault="00210FE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3232</w:t>
            </w:r>
          </w:p>
        </w:tc>
        <w:tc>
          <w:tcPr>
            <w:tcW w:w="3180" w:type="dxa"/>
            <w:tcMar>
              <w:top w:w="0" w:type="dxa"/>
              <w:bottom w:w="0" w:type="dxa"/>
            </w:tcMar>
            <w:vAlign w:val="center"/>
          </w:tcPr>
          <w:p w:rsidR="00B50835" w:rsidRDefault="00210FEE">
            <w:pPr>
              <w:keepNext/>
              <w:keepLines/>
              <w:spacing w:after="0" w:line="240" w:lineRule="auto"/>
            </w:pPr>
            <w:r>
              <w:rPr>
                <w:sz w:val="18"/>
              </w:rPr>
              <w:t>Usluge tekućeg i investicijskog održavanja</w:t>
            </w:r>
          </w:p>
        </w:tc>
        <w:tc>
          <w:tcPr>
            <w:tcW w:w="700" w:type="dxa"/>
            <w:tcMar>
              <w:top w:w="0" w:type="dxa"/>
              <w:bottom w:w="0" w:type="dxa"/>
            </w:tcMar>
            <w:vAlign w:val="center"/>
          </w:tcPr>
          <w:p w:rsidR="00B50835" w:rsidRDefault="00210FEE">
            <w:pPr>
              <w:keepNext/>
              <w:keepLines/>
              <w:spacing w:after="0" w:line="240" w:lineRule="auto"/>
            </w:pPr>
            <w:r>
              <w:rPr>
                <w:sz w:val="18"/>
              </w:rPr>
              <w:t>3232</w:t>
            </w:r>
          </w:p>
        </w:tc>
        <w:tc>
          <w:tcPr>
            <w:tcW w:w="1860" w:type="dxa"/>
            <w:tcMar>
              <w:top w:w="0" w:type="dxa"/>
              <w:bottom w:w="0" w:type="dxa"/>
            </w:tcMar>
            <w:vAlign w:val="center"/>
          </w:tcPr>
          <w:p w:rsidR="00B50835" w:rsidRDefault="00210FEE">
            <w:pPr>
              <w:keepNext/>
              <w:keepLines/>
              <w:spacing w:after="0" w:line="240" w:lineRule="auto"/>
              <w:jc w:val="right"/>
            </w:pPr>
            <w:r>
              <w:rPr>
                <w:sz w:val="18"/>
              </w:rPr>
              <w:t>1.656,98</w:t>
            </w:r>
          </w:p>
        </w:tc>
        <w:tc>
          <w:tcPr>
            <w:tcW w:w="1860" w:type="dxa"/>
            <w:tcMar>
              <w:top w:w="0" w:type="dxa"/>
              <w:bottom w:w="0" w:type="dxa"/>
            </w:tcMar>
            <w:vAlign w:val="center"/>
          </w:tcPr>
          <w:p w:rsidR="00B50835" w:rsidRDefault="00210FEE">
            <w:pPr>
              <w:keepNext/>
              <w:keepLines/>
              <w:spacing w:after="0" w:line="240" w:lineRule="auto"/>
              <w:jc w:val="right"/>
            </w:pPr>
            <w:r>
              <w:rPr>
                <w:sz w:val="18"/>
              </w:rPr>
              <w:t>16.446,34</w:t>
            </w:r>
          </w:p>
        </w:tc>
        <w:tc>
          <w:tcPr>
            <w:tcW w:w="700" w:type="dxa"/>
            <w:tcMar>
              <w:top w:w="0" w:type="dxa"/>
              <w:bottom w:w="0" w:type="dxa"/>
            </w:tcMar>
            <w:vAlign w:val="center"/>
          </w:tcPr>
          <w:p w:rsidR="00B50835" w:rsidRDefault="00210FEE">
            <w:pPr>
              <w:keepNext/>
              <w:keepLines/>
              <w:spacing w:after="0" w:line="240" w:lineRule="auto"/>
              <w:jc w:val="right"/>
            </w:pPr>
            <w:r>
              <w:rPr>
                <w:sz w:val="18"/>
              </w:rPr>
              <w:t>992,5</w:t>
            </w:r>
          </w:p>
        </w:tc>
      </w:tr>
    </w:tbl>
    <w:p w:rsidR="00B50835" w:rsidRDefault="00B50835">
      <w:pPr>
        <w:spacing w:after="0"/>
      </w:pPr>
    </w:p>
    <w:p w:rsidR="00B50835" w:rsidRDefault="00210FEE">
      <w:pPr>
        <w:spacing w:line="240" w:lineRule="auto"/>
        <w:jc w:val="both"/>
      </w:pPr>
      <w:r>
        <w:t>značajno su se povećali ovi rashodi zbog usluga maljanja hodnika, dijela dvorane te većih popravaka na električnim instalacijama.</w:t>
      </w:r>
    </w:p>
    <w:p w:rsidR="00B50835" w:rsidRDefault="00B50835"/>
    <w:p w:rsidR="00B50835" w:rsidRDefault="00210FEE">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3239</w:t>
            </w:r>
          </w:p>
        </w:tc>
        <w:tc>
          <w:tcPr>
            <w:tcW w:w="3180" w:type="dxa"/>
            <w:tcMar>
              <w:top w:w="0" w:type="dxa"/>
              <w:bottom w:w="0" w:type="dxa"/>
            </w:tcMar>
            <w:vAlign w:val="center"/>
          </w:tcPr>
          <w:p w:rsidR="00B50835" w:rsidRDefault="00210FEE">
            <w:pPr>
              <w:keepNext/>
              <w:keepLines/>
              <w:spacing w:after="0" w:line="240" w:lineRule="auto"/>
            </w:pPr>
            <w:r>
              <w:rPr>
                <w:sz w:val="18"/>
              </w:rPr>
              <w:t>Ostale usluge</w:t>
            </w:r>
          </w:p>
        </w:tc>
        <w:tc>
          <w:tcPr>
            <w:tcW w:w="700" w:type="dxa"/>
            <w:tcMar>
              <w:top w:w="0" w:type="dxa"/>
              <w:bottom w:w="0" w:type="dxa"/>
            </w:tcMar>
            <w:vAlign w:val="center"/>
          </w:tcPr>
          <w:p w:rsidR="00B50835" w:rsidRDefault="00210FEE">
            <w:pPr>
              <w:keepNext/>
              <w:keepLines/>
              <w:spacing w:after="0" w:line="240" w:lineRule="auto"/>
            </w:pPr>
            <w:r>
              <w:rPr>
                <w:sz w:val="18"/>
              </w:rPr>
              <w:t>3239</w:t>
            </w:r>
          </w:p>
        </w:tc>
        <w:tc>
          <w:tcPr>
            <w:tcW w:w="1860" w:type="dxa"/>
            <w:tcMar>
              <w:top w:w="0" w:type="dxa"/>
              <w:bottom w:w="0" w:type="dxa"/>
            </w:tcMar>
            <w:vAlign w:val="center"/>
          </w:tcPr>
          <w:p w:rsidR="00B50835" w:rsidRDefault="00210FEE">
            <w:pPr>
              <w:keepNext/>
              <w:keepLines/>
              <w:spacing w:after="0" w:line="240" w:lineRule="auto"/>
              <w:jc w:val="right"/>
            </w:pPr>
            <w:r>
              <w:rPr>
                <w:sz w:val="18"/>
              </w:rPr>
              <w:t>95,35</w:t>
            </w:r>
          </w:p>
        </w:tc>
        <w:tc>
          <w:tcPr>
            <w:tcW w:w="1860" w:type="dxa"/>
            <w:tcMar>
              <w:top w:w="0" w:type="dxa"/>
              <w:bottom w:w="0" w:type="dxa"/>
            </w:tcMar>
            <w:vAlign w:val="center"/>
          </w:tcPr>
          <w:p w:rsidR="00B50835" w:rsidRDefault="00210FEE">
            <w:pPr>
              <w:keepNext/>
              <w:keepLines/>
              <w:spacing w:after="0" w:line="240" w:lineRule="auto"/>
              <w:jc w:val="right"/>
            </w:pPr>
            <w:r>
              <w:rPr>
                <w:sz w:val="18"/>
              </w:rPr>
              <w:t>642,50</w:t>
            </w:r>
          </w:p>
        </w:tc>
        <w:tc>
          <w:tcPr>
            <w:tcW w:w="700" w:type="dxa"/>
            <w:tcMar>
              <w:top w:w="0" w:type="dxa"/>
              <w:bottom w:w="0" w:type="dxa"/>
            </w:tcMar>
            <w:vAlign w:val="center"/>
          </w:tcPr>
          <w:p w:rsidR="00B50835" w:rsidRDefault="00210FEE">
            <w:pPr>
              <w:keepNext/>
              <w:keepLines/>
              <w:spacing w:after="0" w:line="240" w:lineRule="auto"/>
              <w:jc w:val="right"/>
            </w:pPr>
            <w:r>
              <w:rPr>
                <w:sz w:val="18"/>
              </w:rPr>
              <w:t>673,8</w:t>
            </w:r>
          </w:p>
        </w:tc>
      </w:tr>
    </w:tbl>
    <w:p w:rsidR="00B50835" w:rsidRDefault="00B50835">
      <w:pPr>
        <w:spacing w:after="0"/>
      </w:pPr>
    </w:p>
    <w:p w:rsidR="00B50835" w:rsidRDefault="00210FEE">
      <w:pPr>
        <w:spacing w:line="240" w:lineRule="auto"/>
        <w:jc w:val="both"/>
      </w:pPr>
      <w:r>
        <w:t>Velika stavka u ovim uslugama je izrada procjene postojećeg stanja i analiza rizika te izrada plana sigurnosti.</w:t>
      </w:r>
    </w:p>
    <w:p w:rsidR="00B50835" w:rsidRDefault="00B50835"/>
    <w:p w:rsidR="00B50835" w:rsidRDefault="00210FE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3295</w:t>
            </w:r>
          </w:p>
        </w:tc>
        <w:tc>
          <w:tcPr>
            <w:tcW w:w="3180" w:type="dxa"/>
            <w:tcMar>
              <w:top w:w="0" w:type="dxa"/>
              <w:bottom w:w="0" w:type="dxa"/>
            </w:tcMar>
            <w:vAlign w:val="center"/>
          </w:tcPr>
          <w:p w:rsidR="00B50835" w:rsidRDefault="00210FEE">
            <w:pPr>
              <w:keepNext/>
              <w:keepLines/>
              <w:spacing w:after="0" w:line="240" w:lineRule="auto"/>
            </w:pPr>
            <w:r>
              <w:rPr>
                <w:sz w:val="18"/>
              </w:rPr>
              <w:t>Pristojbe i naknade</w:t>
            </w:r>
          </w:p>
        </w:tc>
        <w:tc>
          <w:tcPr>
            <w:tcW w:w="700" w:type="dxa"/>
            <w:tcMar>
              <w:top w:w="0" w:type="dxa"/>
              <w:bottom w:w="0" w:type="dxa"/>
            </w:tcMar>
            <w:vAlign w:val="center"/>
          </w:tcPr>
          <w:p w:rsidR="00B50835" w:rsidRDefault="00210FEE">
            <w:pPr>
              <w:keepNext/>
              <w:keepLines/>
              <w:spacing w:after="0" w:line="240" w:lineRule="auto"/>
            </w:pPr>
            <w:r>
              <w:rPr>
                <w:sz w:val="18"/>
              </w:rPr>
              <w:t>3295</w:t>
            </w:r>
          </w:p>
        </w:tc>
        <w:tc>
          <w:tcPr>
            <w:tcW w:w="1860" w:type="dxa"/>
            <w:tcMar>
              <w:top w:w="0" w:type="dxa"/>
              <w:bottom w:w="0" w:type="dxa"/>
            </w:tcMar>
            <w:vAlign w:val="center"/>
          </w:tcPr>
          <w:p w:rsidR="00B50835" w:rsidRDefault="00210FEE">
            <w:pPr>
              <w:keepNext/>
              <w:keepLines/>
              <w:spacing w:after="0" w:line="240" w:lineRule="auto"/>
              <w:jc w:val="right"/>
            </w:pPr>
            <w:r>
              <w:rPr>
                <w:sz w:val="18"/>
              </w:rPr>
              <w:t>2.199,00</w:t>
            </w:r>
          </w:p>
        </w:tc>
        <w:tc>
          <w:tcPr>
            <w:tcW w:w="1860" w:type="dxa"/>
            <w:tcMar>
              <w:top w:w="0" w:type="dxa"/>
              <w:bottom w:w="0" w:type="dxa"/>
            </w:tcMar>
            <w:vAlign w:val="center"/>
          </w:tcPr>
          <w:p w:rsidR="00B50835" w:rsidRDefault="00210FEE">
            <w:pPr>
              <w:keepNext/>
              <w:keepLines/>
              <w:spacing w:after="0" w:line="240" w:lineRule="auto"/>
              <w:jc w:val="right"/>
            </w:pPr>
            <w:r>
              <w:rPr>
                <w:sz w:val="18"/>
              </w:rPr>
              <w:t>2.824,09</w:t>
            </w:r>
          </w:p>
        </w:tc>
        <w:tc>
          <w:tcPr>
            <w:tcW w:w="700" w:type="dxa"/>
            <w:tcMar>
              <w:top w:w="0" w:type="dxa"/>
              <w:bottom w:w="0" w:type="dxa"/>
            </w:tcMar>
            <w:vAlign w:val="center"/>
          </w:tcPr>
          <w:p w:rsidR="00B50835" w:rsidRDefault="00210FEE">
            <w:pPr>
              <w:keepNext/>
              <w:keepLines/>
              <w:spacing w:after="0" w:line="240" w:lineRule="auto"/>
              <w:jc w:val="right"/>
            </w:pPr>
            <w:r>
              <w:rPr>
                <w:sz w:val="18"/>
              </w:rPr>
              <w:t>128,4</w:t>
            </w:r>
          </w:p>
        </w:tc>
      </w:tr>
    </w:tbl>
    <w:p w:rsidR="00B50835" w:rsidRDefault="00B50835">
      <w:pPr>
        <w:spacing w:after="0"/>
      </w:pPr>
    </w:p>
    <w:p w:rsidR="00B50835" w:rsidRDefault="00210FEE">
      <w:pPr>
        <w:spacing w:line="240" w:lineRule="auto"/>
        <w:jc w:val="both"/>
      </w:pPr>
      <w:r>
        <w:t>Odnosi se na naknadu zbog nezapošljavanja osoba s invaliditetom- obveza je dvije naknade i sukladno povećanju naknade.</w:t>
      </w:r>
    </w:p>
    <w:p w:rsidR="00B50835" w:rsidRDefault="00B50835"/>
    <w:p w:rsidR="00B50835" w:rsidRDefault="00210FE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3431</w:t>
            </w:r>
          </w:p>
        </w:tc>
        <w:tc>
          <w:tcPr>
            <w:tcW w:w="3180" w:type="dxa"/>
            <w:tcMar>
              <w:top w:w="0" w:type="dxa"/>
              <w:bottom w:w="0" w:type="dxa"/>
            </w:tcMar>
            <w:vAlign w:val="center"/>
          </w:tcPr>
          <w:p w:rsidR="00B50835" w:rsidRDefault="00210FEE">
            <w:pPr>
              <w:keepNext/>
              <w:keepLines/>
              <w:spacing w:after="0" w:line="240" w:lineRule="auto"/>
            </w:pPr>
            <w:r>
              <w:rPr>
                <w:sz w:val="18"/>
              </w:rPr>
              <w:t>Bankarske usluge i usluge platnog prometa</w:t>
            </w:r>
          </w:p>
        </w:tc>
        <w:tc>
          <w:tcPr>
            <w:tcW w:w="700" w:type="dxa"/>
            <w:tcMar>
              <w:top w:w="0" w:type="dxa"/>
              <w:bottom w:w="0" w:type="dxa"/>
            </w:tcMar>
            <w:vAlign w:val="center"/>
          </w:tcPr>
          <w:p w:rsidR="00B50835" w:rsidRDefault="00210FEE">
            <w:pPr>
              <w:keepNext/>
              <w:keepLines/>
              <w:spacing w:after="0" w:line="240" w:lineRule="auto"/>
            </w:pPr>
            <w:r>
              <w:rPr>
                <w:sz w:val="18"/>
              </w:rPr>
              <w:t>3431</w:t>
            </w:r>
          </w:p>
        </w:tc>
        <w:tc>
          <w:tcPr>
            <w:tcW w:w="1860" w:type="dxa"/>
            <w:tcMar>
              <w:top w:w="0" w:type="dxa"/>
              <w:bottom w:w="0" w:type="dxa"/>
            </w:tcMar>
            <w:vAlign w:val="center"/>
          </w:tcPr>
          <w:p w:rsidR="00B50835" w:rsidRDefault="00210FEE">
            <w:pPr>
              <w:keepNext/>
              <w:keepLines/>
              <w:spacing w:after="0" w:line="240" w:lineRule="auto"/>
              <w:jc w:val="right"/>
            </w:pPr>
            <w:r>
              <w:rPr>
                <w:sz w:val="18"/>
              </w:rPr>
              <w:t>518,09</w:t>
            </w:r>
          </w:p>
        </w:tc>
        <w:tc>
          <w:tcPr>
            <w:tcW w:w="1860" w:type="dxa"/>
            <w:tcMar>
              <w:top w:w="0" w:type="dxa"/>
              <w:bottom w:w="0" w:type="dxa"/>
            </w:tcMar>
            <w:vAlign w:val="center"/>
          </w:tcPr>
          <w:p w:rsidR="00B50835" w:rsidRDefault="00210FEE">
            <w:pPr>
              <w:keepNext/>
              <w:keepLines/>
              <w:spacing w:after="0" w:line="240" w:lineRule="auto"/>
              <w:jc w:val="right"/>
            </w:pPr>
            <w:r>
              <w:rPr>
                <w:sz w:val="18"/>
              </w:rPr>
              <w:t>343,30</w:t>
            </w:r>
          </w:p>
        </w:tc>
        <w:tc>
          <w:tcPr>
            <w:tcW w:w="700" w:type="dxa"/>
            <w:tcMar>
              <w:top w:w="0" w:type="dxa"/>
              <w:bottom w:w="0" w:type="dxa"/>
            </w:tcMar>
            <w:vAlign w:val="center"/>
          </w:tcPr>
          <w:p w:rsidR="00B50835" w:rsidRDefault="00210FEE">
            <w:pPr>
              <w:keepNext/>
              <w:keepLines/>
              <w:spacing w:after="0" w:line="240" w:lineRule="auto"/>
              <w:jc w:val="right"/>
            </w:pPr>
            <w:r>
              <w:rPr>
                <w:sz w:val="18"/>
              </w:rPr>
              <w:t>66,3</w:t>
            </w:r>
          </w:p>
        </w:tc>
      </w:tr>
    </w:tbl>
    <w:p w:rsidR="00B50835" w:rsidRDefault="00B50835">
      <w:pPr>
        <w:spacing w:after="0"/>
      </w:pPr>
    </w:p>
    <w:p w:rsidR="00B50835" w:rsidRDefault="00210FEE">
      <w:pPr>
        <w:spacing w:line="240" w:lineRule="auto"/>
        <w:jc w:val="both"/>
      </w:pPr>
      <w:r>
        <w:t>Usluga platnog prometa se smanjuje zbog nižih cijena naknade i uglavnom bezgotovinskih plaćanja.</w:t>
      </w:r>
    </w:p>
    <w:p w:rsidR="00B50835" w:rsidRDefault="00B50835"/>
    <w:p w:rsidR="00B50835" w:rsidRDefault="00210FE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50835">
        <w:trPr>
          <w:cantSplit/>
        </w:trPr>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50835" w:rsidRDefault="00210FEE">
            <w:pPr>
              <w:keepNext/>
              <w:keepLines/>
              <w:spacing w:after="0" w:line="240" w:lineRule="auto"/>
              <w:jc w:val="center"/>
            </w:pPr>
            <w:r>
              <w:rPr>
                <w:b/>
                <w:sz w:val="18"/>
              </w:rPr>
              <w:t>Indeks (%)</w:t>
            </w:r>
          </w:p>
        </w:tc>
      </w:tr>
      <w:tr w:rsidR="00B50835">
        <w:trPr>
          <w:cantSplit/>
          <w:trHeight w:val="560"/>
        </w:trPr>
        <w:tc>
          <w:tcPr>
            <w:tcW w:w="700" w:type="dxa"/>
            <w:tcMar>
              <w:top w:w="0" w:type="dxa"/>
              <w:bottom w:w="0" w:type="dxa"/>
            </w:tcMar>
            <w:vAlign w:val="center"/>
          </w:tcPr>
          <w:p w:rsidR="00B50835" w:rsidRDefault="00210FEE">
            <w:pPr>
              <w:keepNext/>
              <w:keepLines/>
              <w:spacing w:after="0" w:line="240" w:lineRule="auto"/>
            </w:pPr>
            <w:r>
              <w:rPr>
                <w:sz w:val="18"/>
              </w:rPr>
              <w:t>96</w:t>
            </w:r>
          </w:p>
        </w:tc>
        <w:tc>
          <w:tcPr>
            <w:tcW w:w="3180" w:type="dxa"/>
            <w:tcMar>
              <w:top w:w="0" w:type="dxa"/>
              <w:bottom w:w="0" w:type="dxa"/>
            </w:tcMar>
            <w:vAlign w:val="center"/>
          </w:tcPr>
          <w:p w:rsidR="00B50835" w:rsidRDefault="00210FEE">
            <w:pPr>
              <w:keepNext/>
              <w:keepLines/>
              <w:spacing w:after="0" w:line="240" w:lineRule="auto"/>
            </w:pPr>
            <w:r>
              <w:rPr>
                <w:sz w:val="18"/>
              </w:rPr>
              <w:t>Obračunati prihodi poslovanja - nenaplaćeni</w:t>
            </w:r>
          </w:p>
        </w:tc>
        <w:tc>
          <w:tcPr>
            <w:tcW w:w="700" w:type="dxa"/>
            <w:tcMar>
              <w:top w:w="0" w:type="dxa"/>
              <w:bottom w:w="0" w:type="dxa"/>
            </w:tcMar>
            <w:vAlign w:val="center"/>
          </w:tcPr>
          <w:p w:rsidR="00B50835" w:rsidRDefault="00210FEE">
            <w:pPr>
              <w:keepNext/>
              <w:keepLines/>
              <w:spacing w:after="0" w:line="240" w:lineRule="auto"/>
            </w:pPr>
            <w:r>
              <w:rPr>
                <w:sz w:val="18"/>
              </w:rPr>
              <w:t>96</w:t>
            </w:r>
          </w:p>
        </w:tc>
        <w:tc>
          <w:tcPr>
            <w:tcW w:w="1860" w:type="dxa"/>
            <w:tcMar>
              <w:top w:w="0" w:type="dxa"/>
              <w:bottom w:w="0" w:type="dxa"/>
            </w:tcMar>
            <w:vAlign w:val="center"/>
          </w:tcPr>
          <w:p w:rsidR="00B50835" w:rsidRDefault="00210FEE">
            <w:pPr>
              <w:keepNext/>
              <w:keepLines/>
              <w:spacing w:after="0" w:line="240" w:lineRule="auto"/>
              <w:jc w:val="right"/>
            </w:pPr>
            <w:r>
              <w:rPr>
                <w:sz w:val="18"/>
              </w:rPr>
              <w:t>6.400,61</w:t>
            </w:r>
          </w:p>
        </w:tc>
        <w:tc>
          <w:tcPr>
            <w:tcW w:w="1860" w:type="dxa"/>
            <w:tcMar>
              <w:top w:w="0" w:type="dxa"/>
              <w:bottom w:w="0" w:type="dxa"/>
            </w:tcMar>
            <w:vAlign w:val="center"/>
          </w:tcPr>
          <w:p w:rsidR="00B50835" w:rsidRDefault="00210FEE">
            <w:pPr>
              <w:keepNext/>
              <w:keepLines/>
              <w:spacing w:after="0" w:line="240" w:lineRule="auto"/>
              <w:jc w:val="right"/>
            </w:pPr>
            <w:r>
              <w:rPr>
                <w:sz w:val="18"/>
              </w:rPr>
              <w:t>101.433,41</w:t>
            </w:r>
          </w:p>
        </w:tc>
        <w:tc>
          <w:tcPr>
            <w:tcW w:w="700" w:type="dxa"/>
            <w:tcMar>
              <w:top w:w="0" w:type="dxa"/>
              <w:bottom w:w="0" w:type="dxa"/>
            </w:tcMar>
            <w:vAlign w:val="center"/>
          </w:tcPr>
          <w:p w:rsidR="00B50835" w:rsidRDefault="00210FEE">
            <w:pPr>
              <w:keepNext/>
              <w:keepLines/>
              <w:spacing w:after="0" w:line="240" w:lineRule="auto"/>
              <w:jc w:val="right"/>
            </w:pPr>
            <w:r>
              <w:rPr>
                <w:sz w:val="18"/>
              </w:rPr>
              <w:t>1584,7</w:t>
            </w:r>
          </w:p>
        </w:tc>
      </w:tr>
    </w:tbl>
    <w:p w:rsidR="00B50835" w:rsidRDefault="00B50835">
      <w:pPr>
        <w:spacing w:after="0"/>
      </w:pPr>
    </w:p>
    <w:p w:rsidR="00B50835" w:rsidRDefault="00210FEE">
      <w:pPr>
        <w:spacing w:line="240" w:lineRule="auto"/>
        <w:jc w:val="both"/>
      </w:pPr>
      <w:r>
        <w:t>Odnose se na potraživanja od MZOM za plaću i naknadu za invalide za 9/2025.</w:t>
      </w:r>
    </w:p>
    <w:p w:rsidR="00B50835" w:rsidRDefault="00B50835"/>
    <w:sectPr w:rsidR="00B50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35"/>
    <w:rsid w:val="00210FEE"/>
    <w:rsid w:val="00B50835"/>
    <w:rsid w:val="00EC06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6B47F-D0AA-4DE6-9B5C-12CDBD52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2025-10-10T11:07:00Z</dcterms:created>
  <dcterms:modified xsi:type="dcterms:W3CDTF">2025-10-10T11:07:00Z</dcterms:modified>
</cp:coreProperties>
</file>